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8C" w:rsidRDefault="001E6E8C">
      <w:pPr>
        <w:pStyle w:val="IEcMemoHead"/>
      </w:pPr>
      <w:r>
        <w:t>MEMORANDUM</w:t>
      </w:r>
      <w:r w:rsidR="000C5ACE">
        <w:t xml:space="preserve"> </w:t>
      </w:r>
      <w:r>
        <w:t>|</w:t>
      </w:r>
      <w:r w:rsidR="000C5ACE">
        <w:t xml:space="preserve"> </w:t>
      </w:r>
      <w:r w:rsidR="00C01CF1">
        <w:t>7.22.20</w:t>
      </w:r>
      <w:r w:rsidR="00CB4B2E">
        <w:t>14</w:t>
      </w:r>
    </w:p>
    <w:p w:rsidR="001E6E8C" w:rsidRDefault="001E6E8C">
      <w:pPr>
        <w:spacing w:after="120"/>
      </w:pPr>
    </w:p>
    <w:tbl>
      <w:tblPr>
        <w:tblW w:w="9540" w:type="dxa"/>
        <w:tblInd w:w="-1332" w:type="dxa"/>
        <w:tblLayout w:type="fixed"/>
        <w:tblLook w:val="0000" w:firstRow="0" w:lastRow="0" w:firstColumn="0" w:lastColumn="0" w:noHBand="0" w:noVBand="0"/>
      </w:tblPr>
      <w:tblGrid>
        <w:gridCol w:w="1440"/>
        <w:gridCol w:w="8100"/>
      </w:tblGrid>
      <w:tr w:rsidR="001E6E8C">
        <w:trPr>
          <w:cantSplit/>
          <w:trHeight w:val="403"/>
        </w:trPr>
        <w:tc>
          <w:tcPr>
            <w:tcW w:w="1440" w:type="dxa"/>
            <w:vAlign w:val="center"/>
          </w:tcPr>
          <w:p w:rsidR="001E6E8C" w:rsidRDefault="001E6E8C">
            <w:pPr>
              <w:pStyle w:val="IEcHeadingACallout"/>
              <w:spacing w:before="60" w:line="240" w:lineRule="auto"/>
            </w:pPr>
            <w:r>
              <w:t>TO</w:t>
            </w:r>
          </w:p>
        </w:tc>
        <w:tc>
          <w:tcPr>
            <w:tcW w:w="8100" w:type="dxa"/>
            <w:vAlign w:val="center"/>
          </w:tcPr>
          <w:p w:rsidR="001E6E8C" w:rsidRDefault="00CB4B2E">
            <w:pPr>
              <w:pStyle w:val="IEcNormalText"/>
              <w:spacing w:after="0"/>
              <w:ind w:left="-108"/>
            </w:pPr>
            <w:r>
              <w:t>Carl Koch and Matt Keene, EPA</w:t>
            </w:r>
          </w:p>
        </w:tc>
      </w:tr>
      <w:tr w:rsidR="001E6E8C">
        <w:trPr>
          <w:cantSplit/>
          <w:trHeight w:val="403"/>
        </w:trPr>
        <w:tc>
          <w:tcPr>
            <w:tcW w:w="1440" w:type="dxa"/>
            <w:vAlign w:val="center"/>
          </w:tcPr>
          <w:p w:rsidR="001E6E8C" w:rsidRDefault="001E6E8C">
            <w:pPr>
              <w:pStyle w:val="IEcHeadingACallout"/>
              <w:spacing w:before="60" w:line="240" w:lineRule="auto"/>
            </w:pPr>
            <w:r>
              <w:t>from</w:t>
            </w:r>
          </w:p>
        </w:tc>
        <w:tc>
          <w:tcPr>
            <w:tcW w:w="8100" w:type="dxa"/>
            <w:vAlign w:val="center"/>
          </w:tcPr>
          <w:p w:rsidR="001E6E8C" w:rsidRDefault="00CB4B2E">
            <w:pPr>
              <w:pStyle w:val="IEcNormalText"/>
              <w:spacing w:after="0"/>
              <w:ind w:left="-108"/>
            </w:pPr>
            <w:r>
              <w:t>Nick Pittman and Neal Etre, IEc</w:t>
            </w:r>
          </w:p>
        </w:tc>
      </w:tr>
      <w:tr w:rsidR="001E6E8C">
        <w:trPr>
          <w:cantSplit/>
          <w:trHeight w:val="403"/>
        </w:trPr>
        <w:tc>
          <w:tcPr>
            <w:tcW w:w="1440" w:type="dxa"/>
            <w:vAlign w:val="center"/>
          </w:tcPr>
          <w:p w:rsidR="001E6E8C" w:rsidRDefault="001E6E8C">
            <w:pPr>
              <w:pStyle w:val="IEcHeadingACallout"/>
              <w:spacing w:before="60" w:line="240" w:lineRule="auto"/>
            </w:pPr>
            <w:r>
              <w:t>subject</w:t>
            </w:r>
          </w:p>
        </w:tc>
        <w:tc>
          <w:tcPr>
            <w:tcW w:w="8100" w:type="dxa"/>
            <w:vAlign w:val="center"/>
          </w:tcPr>
          <w:p w:rsidR="001E6E8C" w:rsidRDefault="00CB4B2E">
            <w:pPr>
              <w:pStyle w:val="IEcNormalText"/>
              <w:spacing w:after="0"/>
              <w:ind w:left="-108"/>
            </w:pPr>
            <w:r>
              <w:t xml:space="preserve">Draft Summary of Potential Funding Models for ArchEE </w:t>
            </w:r>
          </w:p>
        </w:tc>
      </w:tr>
      <w:tr w:rsidR="001E6E8C">
        <w:trPr>
          <w:cantSplit/>
          <w:trHeight w:hRule="exact" w:val="270"/>
        </w:trPr>
        <w:tc>
          <w:tcPr>
            <w:tcW w:w="1440" w:type="dxa"/>
            <w:vAlign w:val="center"/>
          </w:tcPr>
          <w:p w:rsidR="001E6E8C" w:rsidRDefault="001E6E8C"/>
        </w:tc>
        <w:tc>
          <w:tcPr>
            <w:tcW w:w="8100" w:type="dxa"/>
            <w:tcBorders>
              <w:bottom w:val="single" w:sz="8" w:space="0" w:color="607C8C"/>
            </w:tcBorders>
            <w:vAlign w:val="center"/>
          </w:tcPr>
          <w:p w:rsidR="001E6E8C" w:rsidRDefault="001E6E8C">
            <w:pPr>
              <w:pStyle w:val="IEcNormalText"/>
              <w:spacing w:before="60"/>
              <w:rPr>
                <w:sz w:val="20"/>
              </w:rPr>
            </w:pPr>
          </w:p>
        </w:tc>
      </w:tr>
    </w:tbl>
    <w:p w:rsidR="008D0404" w:rsidRDefault="008D0404" w:rsidP="00063F26">
      <w:pPr>
        <w:pStyle w:val="IEcNormalText"/>
      </w:pPr>
    </w:p>
    <w:p w:rsidR="003C09DF" w:rsidRDefault="003C09DF" w:rsidP="003C09DF">
      <w:pPr>
        <w:pStyle w:val="IEcHeadingAinreport"/>
      </w:pPr>
      <w:r>
        <w:t>Introduction</w:t>
      </w:r>
    </w:p>
    <w:p w:rsidR="003C09DF" w:rsidRDefault="003C09DF" w:rsidP="003C09DF">
      <w:pPr>
        <w:pStyle w:val="IEcNormalText"/>
      </w:pPr>
      <w:r>
        <w:t xml:space="preserve">The Environmental Evaluators Network (EEN) aims to advance the practice, policy, and theory of evaluating environmental programs, policies, and other interventions through systematic and collective learning. With support from the U.S. Environmental Protection Agency’s (EPA’s) </w:t>
      </w:r>
      <w:r w:rsidRPr="009B4E1A">
        <w:t>Office of Policy’s Office</w:t>
      </w:r>
      <w:r>
        <w:t xml:space="preserve"> of Strategic Environmental Management (OSEM) and Evaluation Support Division (ESD), EEN is proposing to develop an Architecture of Environmental Evaluation (ArchEE) to meet the demand for evidence related to environmental management. ArchEE </w:t>
      </w:r>
      <w:r w:rsidR="00113BB6">
        <w:t>aims</w:t>
      </w:r>
      <w:r>
        <w:t xml:space="preserve"> to provide EPA and the environmental sector with open access to environmental evaluations, evaluators</w:t>
      </w:r>
      <w:r w:rsidR="00113BB6">
        <w:t>,</w:t>
      </w:r>
      <w:r>
        <w:t xml:space="preserve"> and evaluation-related literature, including formal evaluations and other approaches to systematic improvement, evidence-based management, and policy. </w:t>
      </w:r>
    </w:p>
    <w:p w:rsidR="00763394" w:rsidRDefault="003C09DF" w:rsidP="003C09DF">
      <w:pPr>
        <w:pStyle w:val="IEcNormalText"/>
      </w:pPr>
      <w:r>
        <w:t xml:space="preserve">Building off </w:t>
      </w:r>
      <w:r w:rsidR="00113BB6">
        <w:t xml:space="preserve">of </w:t>
      </w:r>
      <w:r>
        <w:t xml:space="preserve">an initial review conducted in 2013, EPA contracted Industrial Economics, Inc. (IEc) to prepare for, organize, and implement an EEN workshop that brings together key stakeholders to formulate a design plan for ArchEE. As part of this effort, EPA tasked </w:t>
      </w:r>
      <w:r w:rsidR="00763394">
        <w:t xml:space="preserve">IEc with conducting research on </w:t>
      </w:r>
      <w:r>
        <w:t>potential</w:t>
      </w:r>
      <w:r w:rsidR="00763394">
        <w:t xml:space="preserve"> funding </w:t>
      </w:r>
      <w:r>
        <w:t>approaches</w:t>
      </w:r>
      <w:r w:rsidR="00763394">
        <w:t xml:space="preserve"> for ArchEE.</w:t>
      </w:r>
      <w:r w:rsidR="000C5ACE">
        <w:t xml:space="preserve"> </w:t>
      </w:r>
      <w:r w:rsidR="00763394">
        <w:t xml:space="preserve">The purpose of this memorandum </w:t>
      </w:r>
      <w:r w:rsidR="00113BB6">
        <w:t xml:space="preserve">is </w:t>
      </w:r>
      <w:r w:rsidR="00763394">
        <w:t>to provide</w:t>
      </w:r>
      <w:r>
        <w:t xml:space="preserve"> a brief</w:t>
      </w:r>
      <w:r w:rsidR="00763394">
        <w:t xml:space="preserve"> update on funding research carried out to date under Task 2-2 of Call Order 1-27.</w:t>
      </w:r>
    </w:p>
    <w:p w:rsidR="003C09DF" w:rsidRDefault="003C09DF" w:rsidP="000C5ACE">
      <w:pPr>
        <w:pStyle w:val="IEcHeadingAinreport"/>
      </w:pPr>
      <w:r>
        <w:t>Funding approaches</w:t>
      </w:r>
    </w:p>
    <w:p w:rsidR="003C0905" w:rsidRDefault="003C09DF" w:rsidP="00C04B21">
      <w:pPr>
        <w:pStyle w:val="IEcNormalText"/>
      </w:pPr>
      <w:r>
        <w:t>To date, IEc</w:t>
      </w:r>
      <w:r w:rsidR="00C75C7F">
        <w:t xml:space="preserve"> has</w:t>
      </w:r>
      <w:r>
        <w:t xml:space="preserve"> conducted research on 16 </w:t>
      </w:r>
      <w:r w:rsidR="00C75C7F">
        <w:t xml:space="preserve">separate </w:t>
      </w:r>
      <w:r w:rsidR="00215E1A">
        <w:t>information</w:t>
      </w:r>
      <w:r>
        <w:t xml:space="preserve"> repositories, including </w:t>
      </w:r>
      <w:r w:rsidR="00215E1A">
        <w:t>the four systems</w:t>
      </w:r>
      <w:r>
        <w:t xml:space="preserve"> evaluated for EPA in 2013.</w:t>
      </w:r>
      <w:r>
        <w:rPr>
          <w:rStyle w:val="FootnoteReference"/>
        </w:rPr>
        <w:footnoteReference w:id="1"/>
      </w:r>
      <w:r w:rsidR="00E43991">
        <w:t xml:space="preserve"> </w:t>
      </w:r>
      <w:r w:rsidR="00C75C7F">
        <w:t xml:space="preserve">Exhibit 1 below summarizes the funding methods employed by these systems. </w:t>
      </w:r>
    </w:p>
    <w:p w:rsidR="003C0905" w:rsidRPr="00707276" w:rsidRDefault="003C0905" w:rsidP="000C5ACE">
      <w:pPr>
        <w:pStyle w:val="IEcExhibitTitle"/>
        <w:keepNext/>
        <w:keepLines/>
        <w:tabs>
          <w:tab w:val="left" w:pos="1530"/>
        </w:tabs>
      </w:pPr>
      <w:r w:rsidRPr="00707276">
        <w:lastRenderedPageBreak/>
        <w:t xml:space="preserve">exhibit 1. </w:t>
      </w:r>
      <w:r w:rsidR="009B4E1A">
        <w:t>Funding Methods Summary by Repository</w:t>
      </w:r>
      <w:r>
        <w:t xml:space="preserve"> </w:t>
      </w:r>
    </w:p>
    <w:tbl>
      <w:tblPr>
        <w:tblW w:w="7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1980"/>
        <w:gridCol w:w="2590"/>
        <w:gridCol w:w="1133"/>
      </w:tblGrid>
      <w:tr w:rsidR="003C0905">
        <w:trPr>
          <w:trHeight w:val="656"/>
          <w:tblHeader/>
          <w:jc w:val="center"/>
        </w:trPr>
        <w:tc>
          <w:tcPr>
            <w:tcW w:w="2090" w:type="dxa"/>
            <w:tcBorders>
              <w:top w:val="single" w:sz="4" w:space="0" w:color="003366"/>
              <w:left w:val="single" w:sz="4" w:space="0" w:color="003366"/>
              <w:bottom w:val="single" w:sz="4" w:space="0" w:color="003366"/>
              <w:right w:val="single" w:sz="4" w:space="0" w:color="003366"/>
            </w:tcBorders>
            <w:shd w:val="clear" w:color="auto" w:fill="DDEBF9"/>
            <w:tcMar>
              <w:top w:w="43" w:type="dxa"/>
              <w:left w:w="115" w:type="dxa"/>
              <w:bottom w:w="43" w:type="dxa"/>
              <w:right w:w="115" w:type="dxa"/>
            </w:tcMar>
            <w:vAlign w:val="center"/>
          </w:tcPr>
          <w:p w:rsidR="003C0905" w:rsidRDefault="003C0905" w:rsidP="000C5ACE">
            <w:pPr>
              <w:pStyle w:val="IEcChartHeading"/>
              <w:keepLines/>
              <w:spacing w:before="0" w:after="0" w:line="240" w:lineRule="auto"/>
              <w:jc w:val="center"/>
            </w:pPr>
            <w:r>
              <w:t>Information Repository</w:t>
            </w:r>
          </w:p>
        </w:tc>
        <w:tc>
          <w:tcPr>
            <w:tcW w:w="1980" w:type="dxa"/>
            <w:tcBorders>
              <w:top w:val="single" w:sz="4" w:space="0" w:color="003366"/>
              <w:left w:val="single" w:sz="4" w:space="0" w:color="003366"/>
              <w:bottom w:val="single" w:sz="4" w:space="0" w:color="003366"/>
              <w:right w:val="single" w:sz="4" w:space="0" w:color="003366"/>
            </w:tcBorders>
            <w:shd w:val="clear" w:color="auto" w:fill="DDEBF9"/>
            <w:tcMar>
              <w:top w:w="43" w:type="dxa"/>
              <w:left w:w="115" w:type="dxa"/>
              <w:bottom w:w="43" w:type="dxa"/>
              <w:right w:w="115" w:type="dxa"/>
            </w:tcMar>
            <w:vAlign w:val="center"/>
          </w:tcPr>
          <w:p w:rsidR="003C0905" w:rsidRDefault="003C0905" w:rsidP="000C5ACE">
            <w:pPr>
              <w:pStyle w:val="IEcChartHeading"/>
              <w:keepLines/>
              <w:spacing w:before="0" w:after="0" w:line="240" w:lineRule="auto"/>
              <w:jc w:val="center"/>
            </w:pPr>
            <w:r w:rsidDel="003C09DF">
              <w:t>Funding Method</w:t>
            </w:r>
            <w:r>
              <w:t>S</w:t>
            </w:r>
          </w:p>
        </w:tc>
        <w:tc>
          <w:tcPr>
            <w:tcW w:w="2590" w:type="dxa"/>
            <w:tcBorders>
              <w:top w:val="single" w:sz="4" w:space="0" w:color="003366"/>
              <w:left w:val="single" w:sz="4" w:space="0" w:color="003366"/>
              <w:bottom w:val="single" w:sz="4" w:space="0" w:color="003366"/>
              <w:right w:val="single" w:sz="4" w:space="0" w:color="003366"/>
            </w:tcBorders>
            <w:shd w:val="clear" w:color="auto" w:fill="DDEBF9"/>
            <w:tcMar>
              <w:top w:w="43" w:type="dxa"/>
              <w:left w:w="115" w:type="dxa"/>
              <w:bottom w:w="43" w:type="dxa"/>
              <w:right w:w="115" w:type="dxa"/>
            </w:tcMar>
            <w:vAlign w:val="center"/>
          </w:tcPr>
          <w:p w:rsidR="003C0905" w:rsidRDefault="003C0905" w:rsidP="000C5ACE">
            <w:pPr>
              <w:pStyle w:val="IEcChartHeading"/>
              <w:keepLines/>
              <w:spacing w:before="0" w:after="0" w:line="240" w:lineRule="auto"/>
              <w:jc w:val="center"/>
            </w:pPr>
            <w:r>
              <w:t>Key Funding Sources</w:t>
            </w:r>
          </w:p>
        </w:tc>
        <w:tc>
          <w:tcPr>
            <w:tcW w:w="1133" w:type="dxa"/>
            <w:tcBorders>
              <w:top w:val="single" w:sz="4" w:space="0" w:color="003366"/>
              <w:left w:val="single" w:sz="4" w:space="0" w:color="003366"/>
              <w:bottom w:val="single" w:sz="4" w:space="0" w:color="003366"/>
              <w:right w:val="single" w:sz="4" w:space="0" w:color="003366"/>
            </w:tcBorders>
            <w:shd w:val="clear" w:color="auto" w:fill="DDEBF9"/>
            <w:tcMar>
              <w:top w:w="43" w:type="dxa"/>
              <w:left w:w="115" w:type="dxa"/>
              <w:bottom w:w="43" w:type="dxa"/>
              <w:right w:w="115" w:type="dxa"/>
            </w:tcMar>
            <w:vAlign w:val="center"/>
          </w:tcPr>
          <w:p w:rsidR="003C0905" w:rsidRDefault="003C0905" w:rsidP="000C5ACE">
            <w:pPr>
              <w:pStyle w:val="IEcChartHeading"/>
              <w:keepLines/>
              <w:spacing w:before="0" w:after="0" w:line="240" w:lineRule="auto"/>
              <w:jc w:val="center"/>
            </w:pPr>
            <w:r>
              <w:t>free to users?</w:t>
            </w:r>
          </w:p>
        </w:tc>
      </w:tr>
      <w:tr w:rsidR="003C0905" w:rsidTr="009B4E1A">
        <w:trPr>
          <w:trHeight w:val="288"/>
          <w:jc w:val="center"/>
        </w:trPr>
        <w:tc>
          <w:tcPr>
            <w:tcW w:w="2090" w:type="dxa"/>
            <w:tcBorders>
              <w:top w:val="single" w:sz="12" w:space="0" w:color="000000"/>
              <w:left w:val="single" w:sz="4" w:space="0" w:color="003366"/>
              <w:bottom w:val="single" w:sz="4" w:space="0" w:color="999999"/>
              <w:right w:val="single" w:sz="4" w:space="0" w:color="003366"/>
            </w:tcBorders>
            <w:tcMar>
              <w:top w:w="43" w:type="dxa"/>
              <w:left w:w="115" w:type="dxa"/>
              <w:bottom w:w="43" w:type="dxa"/>
              <w:right w:w="115" w:type="dxa"/>
            </w:tcMar>
            <w:vAlign w:val="center"/>
          </w:tcPr>
          <w:p w:rsidR="003C0905" w:rsidRDefault="003C0905" w:rsidP="000C5ACE">
            <w:pPr>
              <w:pStyle w:val="IEcChartText"/>
              <w:keepNext/>
              <w:keepLines/>
              <w:spacing w:before="0" w:after="0"/>
            </w:pPr>
            <w:r>
              <w:t>IssueLab</w:t>
            </w:r>
          </w:p>
        </w:tc>
        <w:tc>
          <w:tcPr>
            <w:tcW w:w="1980" w:type="dxa"/>
            <w:tcBorders>
              <w:top w:val="single" w:sz="12" w:space="0" w:color="000000"/>
              <w:left w:val="single" w:sz="4" w:space="0" w:color="003366"/>
              <w:bottom w:val="single" w:sz="4" w:space="0" w:color="999999"/>
              <w:right w:val="single" w:sz="4" w:space="0" w:color="003366"/>
            </w:tcBorders>
            <w:tcMar>
              <w:top w:w="43" w:type="dxa"/>
              <w:left w:w="115" w:type="dxa"/>
              <w:bottom w:w="43" w:type="dxa"/>
              <w:right w:w="115" w:type="dxa"/>
            </w:tcMar>
            <w:vAlign w:val="center"/>
          </w:tcPr>
          <w:p w:rsidR="003C0905" w:rsidRDefault="003C0905" w:rsidP="00A23B63">
            <w:pPr>
              <w:pStyle w:val="IEcChartText"/>
              <w:keepNext/>
              <w:keepLines/>
              <w:spacing w:before="0" w:after="0"/>
            </w:pPr>
            <w:r>
              <w:t xml:space="preserve">Sponsorship / </w:t>
            </w:r>
            <w:r w:rsidR="00A23B63">
              <w:t>Fee</w:t>
            </w:r>
            <w:r>
              <w:t>-for-service</w:t>
            </w:r>
          </w:p>
        </w:tc>
        <w:tc>
          <w:tcPr>
            <w:tcW w:w="2590" w:type="dxa"/>
            <w:tcBorders>
              <w:top w:val="single" w:sz="12" w:space="0" w:color="000000"/>
              <w:left w:val="single" w:sz="4" w:space="0" w:color="003366"/>
              <w:bottom w:val="single" w:sz="4" w:space="0" w:color="999999"/>
              <w:right w:val="single" w:sz="4" w:space="0" w:color="003366"/>
            </w:tcBorders>
            <w:tcMar>
              <w:top w:w="43" w:type="dxa"/>
              <w:left w:w="115" w:type="dxa"/>
              <w:bottom w:w="43" w:type="dxa"/>
              <w:right w:w="115" w:type="dxa"/>
            </w:tcMar>
            <w:vAlign w:val="center"/>
          </w:tcPr>
          <w:p w:rsidR="003C0905" w:rsidRDefault="003C0905" w:rsidP="000C5ACE">
            <w:pPr>
              <w:pStyle w:val="IEcChartText"/>
              <w:keepNext/>
              <w:keepLines/>
              <w:spacing w:before="0" w:after="0"/>
            </w:pPr>
            <w:r>
              <w:t>Funded by Foundation Center, which receives 90% of its income from foundation</w:t>
            </w:r>
            <w:r w:rsidR="00113BB6">
              <w:t xml:space="preserve"> </w:t>
            </w:r>
            <w:r>
              <w:t xml:space="preserve">/ corporate contributions and publication revenues. </w:t>
            </w:r>
            <w:r w:rsidR="00952E74" w:rsidRPr="00113BB6">
              <w:t>Clients</w:t>
            </w:r>
            <w:r w:rsidR="00952E74">
              <w:t xml:space="preserve"> pay</w:t>
            </w:r>
            <w:r>
              <w:t xml:space="preserve"> for Knowledge Center development and maintenance.</w:t>
            </w:r>
          </w:p>
        </w:tc>
        <w:tc>
          <w:tcPr>
            <w:tcW w:w="1133" w:type="dxa"/>
            <w:tcBorders>
              <w:top w:val="single" w:sz="12" w:space="0" w:color="000000"/>
              <w:left w:val="single" w:sz="4" w:space="0" w:color="003366"/>
              <w:bottom w:val="single" w:sz="4" w:space="0" w:color="999999"/>
              <w:right w:val="single" w:sz="4" w:space="0" w:color="003366"/>
            </w:tcBorders>
            <w:shd w:val="clear" w:color="auto" w:fill="auto"/>
            <w:tcMar>
              <w:top w:w="43" w:type="dxa"/>
              <w:left w:w="115" w:type="dxa"/>
              <w:bottom w:w="43" w:type="dxa"/>
              <w:right w:w="115" w:type="dxa"/>
            </w:tcMar>
            <w:vAlign w:val="center"/>
          </w:tcPr>
          <w:p w:rsidR="003C0905" w:rsidRDefault="003C0905" w:rsidP="000C5ACE">
            <w:pPr>
              <w:pStyle w:val="IEcChartText"/>
              <w:keepNext/>
              <w:keepLines/>
              <w:spacing w:before="0" w:after="0"/>
              <w:jc w:val="center"/>
            </w:pPr>
            <w:r w:rsidRPr="009B4E1A">
              <w:t>Yes</w:t>
            </w:r>
          </w:p>
        </w:tc>
      </w:tr>
      <w:tr w:rsidR="00A90E3E">
        <w:trPr>
          <w:trHeight w:val="288"/>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B706C1">
            <w:pPr>
              <w:pStyle w:val="IEcChartText"/>
              <w:spacing w:before="0" w:after="0"/>
            </w:pPr>
            <w:r>
              <w:t>Campbell Collaboration (C2)</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B706C1">
            <w:pPr>
              <w:spacing w:line="240" w:lineRule="auto"/>
              <w:jc w:val="center"/>
              <w:rPr>
                <w:rFonts w:ascii="Trebuchet MS" w:hAnsi="Trebuchet MS"/>
                <w:sz w:val="18"/>
              </w:rPr>
            </w:pPr>
            <w:r w:rsidRPr="00DB4477">
              <w:rPr>
                <w:rFonts w:ascii="Trebuchet MS" w:hAnsi="Trebuchet MS"/>
                <w:sz w:val="18"/>
              </w:rPr>
              <w:t>Sponsorship</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B706C1">
            <w:pPr>
              <w:spacing w:line="240" w:lineRule="auto"/>
              <w:rPr>
                <w:rFonts w:ascii="Trebuchet MS" w:hAnsi="Trebuchet MS"/>
                <w:sz w:val="18"/>
              </w:rPr>
            </w:pPr>
            <w:r w:rsidRPr="00C06CB8">
              <w:rPr>
                <w:rFonts w:ascii="Trebuchet MS" w:hAnsi="Trebuchet MS"/>
                <w:sz w:val="18"/>
              </w:rPr>
              <w:t xml:space="preserve">Norwegian government; </w:t>
            </w:r>
            <w:r>
              <w:rPr>
                <w:rFonts w:ascii="Trebuchet MS" w:hAnsi="Trebuchet MS"/>
                <w:sz w:val="18"/>
              </w:rPr>
              <w:t>other parties</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B706C1">
            <w:pPr>
              <w:spacing w:line="240" w:lineRule="auto"/>
              <w:jc w:val="center"/>
              <w:rPr>
                <w:rFonts w:ascii="Trebuchet MS" w:hAnsi="Trebuchet MS"/>
                <w:sz w:val="18"/>
              </w:rPr>
            </w:pPr>
            <w:r w:rsidRPr="00C06CB8">
              <w:rPr>
                <w:rFonts w:ascii="Trebuchet MS" w:hAnsi="Trebuchet MS"/>
                <w:sz w:val="18"/>
              </w:rPr>
              <w:t>Yes</w:t>
            </w:r>
          </w:p>
        </w:tc>
      </w:tr>
      <w:tr w:rsidR="00A90E3E">
        <w:trPr>
          <w:trHeight w:val="288"/>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700A95">
            <w:pPr>
              <w:pStyle w:val="IEcChartText"/>
              <w:spacing w:before="0" w:after="0"/>
            </w:pPr>
            <w:r>
              <w:t>Crime Solutions</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700A95">
            <w:pPr>
              <w:spacing w:line="240" w:lineRule="auto"/>
              <w:jc w:val="center"/>
              <w:rPr>
                <w:rFonts w:ascii="Trebuchet MS" w:hAnsi="Trebuchet MS"/>
                <w:sz w:val="18"/>
              </w:rPr>
            </w:pPr>
            <w:r w:rsidRPr="00DB4477">
              <w:rPr>
                <w:rFonts w:ascii="Trebuchet MS" w:hAnsi="Trebuchet MS"/>
                <w:sz w:val="18"/>
              </w:rPr>
              <w:t>Sponsorship</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700A95">
            <w:pPr>
              <w:spacing w:line="240" w:lineRule="auto"/>
              <w:rPr>
                <w:rFonts w:ascii="Trebuchet MS" w:hAnsi="Trebuchet MS"/>
                <w:sz w:val="18"/>
              </w:rPr>
            </w:pPr>
            <w:r w:rsidRPr="00C06CB8">
              <w:rPr>
                <w:rFonts w:ascii="Trebuchet MS" w:hAnsi="Trebuchet MS"/>
                <w:sz w:val="18"/>
              </w:rPr>
              <w:t>U.S. Department of Justice</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700A95">
            <w:pPr>
              <w:spacing w:line="240" w:lineRule="auto"/>
              <w:jc w:val="center"/>
              <w:rPr>
                <w:rFonts w:ascii="Trebuchet MS" w:hAnsi="Trebuchet MS"/>
                <w:sz w:val="18"/>
              </w:rPr>
            </w:pPr>
            <w:r w:rsidRPr="00C06CB8">
              <w:rPr>
                <w:rFonts w:ascii="Trebuchet MS" w:hAnsi="Trebuchet MS"/>
                <w:sz w:val="18"/>
              </w:rPr>
              <w:t>Yes</w:t>
            </w:r>
          </w:p>
        </w:tc>
      </w:tr>
      <w:tr w:rsidR="00A90E3E">
        <w:trPr>
          <w:trHeight w:val="288"/>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6671B9">
            <w:pPr>
              <w:pStyle w:val="IEcChartText"/>
              <w:spacing w:before="0" w:after="0"/>
            </w:pPr>
            <w:r>
              <w:t>Education Resources Information Center (ERIC)</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6671B9">
            <w:pPr>
              <w:spacing w:line="240" w:lineRule="auto"/>
              <w:jc w:val="center"/>
              <w:rPr>
                <w:rFonts w:ascii="Trebuchet MS" w:hAnsi="Trebuchet MS"/>
                <w:sz w:val="18"/>
              </w:rPr>
            </w:pPr>
            <w:r w:rsidRPr="00DB4477">
              <w:rPr>
                <w:rFonts w:ascii="Trebuchet MS" w:hAnsi="Trebuchet MS"/>
                <w:sz w:val="18"/>
              </w:rPr>
              <w:t>Sponsorship</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6671B9">
            <w:pPr>
              <w:spacing w:line="240" w:lineRule="auto"/>
              <w:rPr>
                <w:rFonts w:ascii="Trebuchet MS" w:hAnsi="Trebuchet MS"/>
                <w:sz w:val="18"/>
              </w:rPr>
            </w:pPr>
            <w:r w:rsidRPr="000C5ACE">
              <w:rPr>
                <w:rFonts w:ascii="Trebuchet MS" w:hAnsi="Trebuchet MS"/>
                <w:sz w:val="18"/>
              </w:rPr>
              <w:t>U.S. Department of Education</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6671B9">
            <w:pPr>
              <w:spacing w:line="240" w:lineRule="auto"/>
              <w:jc w:val="center"/>
              <w:rPr>
                <w:rFonts w:ascii="Trebuchet MS" w:hAnsi="Trebuchet MS"/>
                <w:sz w:val="18"/>
              </w:rPr>
            </w:pPr>
            <w:r w:rsidRPr="000C5ACE">
              <w:rPr>
                <w:rFonts w:ascii="Trebuchet MS" w:hAnsi="Trebuchet MS"/>
                <w:sz w:val="18"/>
              </w:rPr>
              <w:t>Yes</w:t>
            </w:r>
          </w:p>
        </w:tc>
      </w:tr>
      <w:tr w:rsidR="00A90E3E">
        <w:trPr>
          <w:trHeight w:val="288"/>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0C5ACE">
            <w:pPr>
              <w:pStyle w:val="IEcChartText"/>
              <w:spacing w:before="0" w:after="0"/>
            </w:pPr>
            <w:r>
              <w:t>International Initiative for Impact Evaluation (3ie)</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0C5ACE">
            <w:pPr>
              <w:spacing w:line="240" w:lineRule="auto"/>
              <w:jc w:val="center"/>
              <w:rPr>
                <w:rFonts w:ascii="Trebuchet MS" w:hAnsi="Trebuchet MS"/>
                <w:sz w:val="18"/>
              </w:rPr>
            </w:pPr>
            <w:r w:rsidRPr="00DB4477">
              <w:rPr>
                <w:rFonts w:ascii="Trebuchet MS" w:hAnsi="Trebuchet MS"/>
                <w:sz w:val="18"/>
              </w:rPr>
              <w:t>Sponsorship</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0C5ACE">
            <w:pPr>
              <w:spacing w:line="240" w:lineRule="auto"/>
              <w:rPr>
                <w:rFonts w:ascii="Trebuchet MS" w:hAnsi="Trebuchet MS"/>
                <w:sz w:val="18"/>
              </w:rPr>
            </w:pPr>
            <w:r w:rsidRPr="00C06CB8">
              <w:rPr>
                <w:rFonts w:ascii="Trebuchet MS" w:hAnsi="Trebuchet MS"/>
                <w:sz w:val="18"/>
              </w:rPr>
              <w:t>Mix of philanthropic grants and money from government agencies of various countries.</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0C5ACE">
            <w:pPr>
              <w:spacing w:line="240" w:lineRule="auto"/>
              <w:jc w:val="center"/>
              <w:rPr>
                <w:rFonts w:ascii="Trebuchet MS" w:hAnsi="Trebuchet MS"/>
                <w:sz w:val="18"/>
              </w:rPr>
            </w:pPr>
            <w:r w:rsidRPr="00C06CB8">
              <w:rPr>
                <w:rFonts w:ascii="Trebuchet MS" w:hAnsi="Trebuchet MS"/>
                <w:sz w:val="18"/>
              </w:rPr>
              <w:t>Yes</w:t>
            </w:r>
          </w:p>
        </w:tc>
      </w:tr>
      <w:tr w:rsidR="00A90E3E">
        <w:trPr>
          <w:trHeight w:val="288"/>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3B3D10">
            <w:pPr>
              <w:pStyle w:val="IEcChartText"/>
              <w:spacing w:before="0" w:after="0"/>
            </w:pPr>
            <w:r>
              <w:t>The National Science Digital Library</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3B3D10">
            <w:pPr>
              <w:pStyle w:val="IEcChartText"/>
              <w:spacing w:before="0" w:after="0"/>
              <w:jc w:val="center"/>
            </w:pPr>
            <w:r w:rsidRPr="00DB4477">
              <w:t>Sponsorship</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3B3D10">
            <w:pPr>
              <w:pStyle w:val="IEcChartText"/>
              <w:spacing w:before="0" w:after="0"/>
            </w:pPr>
            <w:r>
              <w:t>National Science Foundation, various grants</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3B3D10">
            <w:pPr>
              <w:pStyle w:val="IEcChartText"/>
              <w:spacing w:before="0" w:after="0"/>
              <w:jc w:val="center"/>
            </w:pPr>
            <w:r>
              <w:t>Yes</w:t>
            </w:r>
          </w:p>
        </w:tc>
      </w:tr>
      <w:tr w:rsidR="00A90E3E">
        <w:trPr>
          <w:trHeight w:val="575"/>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E17F65">
            <w:pPr>
              <w:pStyle w:val="IEcChartText"/>
              <w:spacing w:before="0" w:after="0"/>
            </w:pPr>
            <w:r>
              <w:t>PubMed Central</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E17F65">
            <w:pPr>
              <w:pStyle w:val="IEcChartText"/>
              <w:spacing w:before="0" w:after="0"/>
              <w:jc w:val="center"/>
            </w:pPr>
            <w:r w:rsidRPr="00DB4477">
              <w:t>Sponsorship</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E17F65">
            <w:pPr>
              <w:pStyle w:val="IEcChartText"/>
              <w:spacing w:before="0" w:after="0"/>
            </w:pPr>
            <w:r>
              <w:t>U.S. National Institutes of Health</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E17F65">
            <w:pPr>
              <w:pStyle w:val="IEcChartText"/>
              <w:spacing w:before="0" w:after="0"/>
              <w:jc w:val="center"/>
            </w:pPr>
            <w:r>
              <w:t>Yes</w:t>
            </w:r>
          </w:p>
        </w:tc>
      </w:tr>
      <w:tr w:rsidR="00A90E3E">
        <w:trPr>
          <w:trHeight w:val="288"/>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pPr>
            <w:r>
              <w:t>What Works Clearinghouse (WWC)</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93328F">
            <w:pPr>
              <w:spacing w:line="240" w:lineRule="auto"/>
              <w:jc w:val="center"/>
              <w:rPr>
                <w:rFonts w:ascii="Trebuchet MS" w:hAnsi="Trebuchet MS"/>
                <w:sz w:val="18"/>
              </w:rPr>
            </w:pPr>
            <w:r w:rsidRPr="00C06CB8">
              <w:rPr>
                <w:rFonts w:ascii="Trebuchet MS" w:hAnsi="Trebuchet MS"/>
                <w:sz w:val="18"/>
              </w:rPr>
              <w:t>Sponsorship</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93328F">
            <w:pPr>
              <w:spacing w:line="240" w:lineRule="auto"/>
              <w:rPr>
                <w:rFonts w:ascii="Trebuchet MS" w:hAnsi="Trebuchet MS"/>
                <w:sz w:val="18"/>
              </w:rPr>
            </w:pPr>
            <w:r w:rsidRPr="00C06CB8">
              <w:rPr>
                <w:rFonts w:ascii="Trebuchet MS" w:hAnsi="Trebuchet MS"/>
                <w:sz w:val="18"/>
              </w:rPr>
              <w:t>U.S. Department of Education</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Pr="00DB4477" w:rsidRDefault="00A90E3E" w:rsidP="0093328F">
            <w:pPr>
              <w:spacing w:line="240" w:lineRule="auto"/>
              <w:jc w:val="center"/>
              <w:rPr>
                <w:rFonts w:ascii="Trebuchet MS" w:hAnsi="Trebuchet MS"/>
                <w:sz w:val="18"/>
              </w:rPr>
            </w:pPr>
            <w:r w:rsidRPr="00C06CB8">
              <w:rPr>
                <w:rFonts w:ascii="Trebuchet MS" w:hAnsi="Trebuchet MS"/>
                <w:sz w:val="18"/>
              </w:rPr>
              <w:t>Yes</w:t>
            </w:r>
          </w:p>
        </w:tc>
      </w:tr>
      <w:tr w:rsidR="00A90E3E">
        <w:trPr>
          <w:trHeight w:val="530"/>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AD0C0F">
            <w:pPr>
              <w:pStyle w:val="IEcChartText"/>
              <w:spacing w:before="0" w:after="0"/>
            </w:pPr>
            <w:proofErr w:type="spellStart"/>
            <w:r>
              <w:t>BioMed</w:t>
            </w:r>
            <w:proofErr w:type="spellEnd"/>
            <w:r>
              <w:t xml:space="preserve"> Central</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AD0C0F">
            <w:pPr>
              <w:pStyle w:val="IEcChartText"/>
              <w:spacing w:before="0" w:after="0"/>
              <w:jc w:val="center"/>
            </w:pPr>
            <w:r>
              <w:t>Fee</w:t>
            </w:r>
            <w:r w:rsidRPr="00DB4477">
              <w:t>-for-submission</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AD0C0F">
            <w:pPr>
              <w:pStyle w:val="IEcChartText"/>
              <w:spacing w:before="0" w:after="0"/>
            </w:pPr>
            <w:r>
              <w:t>$2,000 - $2,500 per article submitted</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AD0C0F">
            <w:pPr>
              <w:pStyle w:val="IEcChartText"/>
              <w:spacing w:before="0" w:after="0"/>
              <w:jc w:val="center"/>
            </w:pPr>
            <w:r>
              <w:t>Yes</w:t>
            </w:r>
          </w:p>
        </w:tc>
      </w:tr>
      <w:tr w:rsidR="00A90E3E">
        <w:trPr>
          <w:trHeight w:val="288"/>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pPr>
            <w:r>
              <w:t>Copernicus Publications</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jc w:val="center"/>
            </w:pPr>
            <w:r>
              <w:t>Fee</w:t>
            </w:r>
            <w:r w:rsidRPr="00DB4477">
              <w:t>-for-submission</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pPr>
            <w:r w:rsidRPr="00DB4477">
              <w:t>€500</w:t>
            </w:r>
            <w:r>
              <w:t xml:space="preserve"> </w:t>
            </w:r>
            <w:r w:rsidRPr="00DB4477">
              <w:t>-</w:t>
            </w:r>
            <w:r>
              <w:t xml:space="preserve"> </w:t>
            </w:r>
            <w:r w:rsidRPr="00DB4477">
              <w:t>€1,000 per article submi</w:t>
            </w:r>
            <w:r>
              <w:t>tted</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jc w:val="center"/>
            </w:pPr>
            <w:r w:rsidRPr="00DB4477">
              <w:t>Yes</w:t>
            </w:r>
          </w:p>
        </w:tc>
      </w:tr>
      <w:tr w:rsidR="00A90E3E">
        <w:trPr>
          <w:trHeight w:val="288"/>
          <w:jc w:val="center"/>
        </w:trPr>
        <w:tc>
          <w:tcPr>
            <w:tcW w:w="20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B2B4B">
            <w:pPr>
              <w:pStyle w:val="IEcChartText"/>
              <w:spacing w:before="0" w:after="0"/>
            </w:pPr>
            <w:r>
              <w:t>EBSCO Host</w:t>
            </w:r>
          </w:p>
        </w:tc>
        <w:tc>
          <w:tcPr>
            <w:tcW w:w="198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B2B4B">
            <w:pPr>
              <w:pStyle w:val="IEcChartText"/>
              <w:spacing w:before="0" w:after="0"/>
              <w:jc w:val="center"/>
            </w:pPr>
            <w:r>
              <w:t>Fee-for-service / membership</w:t>
            </w:r>
          </w:p>
        </w:tc>
        <w:tc>
          <w:tcPr>
            <w:tcW w:w="2590"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B2B4B">
            <w:pPr>
              <w:pStyle w:val="IEcChartText"/>
              <w:spacing w:before="0" w:after="0"/>
            </w:pPr>
            <w:r>
              <w:t>User fees - different account types for various entities.</w:t>
            </w:r>
          </w:p>
        </w:tc>
        <w:tc>
          <w:tcPr>
            <w:tcW w:w="1133" w:type="dxa"/>
            <w:tcBorders>
              <w:top w:val="single" w:sz="4" w:space="0" w:color="999999"/>
              <w:left w:val="single" w:sz="4" w:space="0" w:color="003366"/>
              <w:bottom w:val="single" w:sz="4" w:space="0" w:color="999999"/>
              <w:right w:val="single" w:sz="4" w:space="0" w:color="003366"/>
            </w:tcBorders>
            <w:tcMar>
              <w:top w:w="43" w:type="dxa"/>
              <w:left w:w="115" w:type="dxa"/>
              <w:bottom w:w="43" w:type="dxa"/>
              <w:right w:w="115" w:type="dxa"/>
            </w:tcMar>
            <w:vAlign w:val="center"/>
          </w:tcPr>
          <w:p w:rsidR="00A90E3E" w:rsidRDefault="00A90E3E" w:rsidP="009B2B4B">
            <w:pPr>
              <w:pStyle w:val="IEcChartText"/>
              <w:spacing w:before="0" w:after="0"/>
              <w:jc w:val="center"/>
            </w:pPr>
            <w:r>
              <w:t>No</w:t>
            </w:r>
          </w:p>
        </w:tc>
      </w:tr>
      <w:tr w:rsidR="00A90E3E">
        <w:trPr>
          <w:trHeight w:val="314"/>
          <w:jc w:val="center"/>
        </w:trPr>
        <w:tc>
          <w:tcPr>
            <w:tcW w:w="2090" w:type="dxa"/>
            <w:tcBorders>
              <w:top w:val="single" w:sz="4" w:space="0" w:color="999999"/>
              <w:left w:val="single" w:sz="4" w:space="0" w:color="003366"/>
              <w:bottom w:val="single" w:sz="4" w:space="0" w:color="003366"/>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pPr>
            <w:r>
              <w:t>JSTOR</w:t>
            </w:r>
          </w:p>
        </w:tc>
        <w:tc>
          <w:tcPr>
            <w:tcW w:w="1980" w:type="dxa"/>
            <w:tcBorders>
              <w:top w:val="single" w:sz="4" w:space="0" w:color="999999"/>
              <w:left w:val="single" w:sz="4" w:space="0" w:color="003366"/>
              <w:bottom w:val="single" w:sz="4" w:space="0" w:color="003366"/>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jc w:val="center"/>
            </w:pPr>
            <w:r>
              <w:t>Fee-for-service / membership</w:t>
            </w:r>
          </w:p>
        </w:tc>
        <w:tc>
          <w:tcPr>
            <w:tcW w:w="2590" w:type="dxa"/>
            <w:tcBorders>
              <w:top w:val="single" w:sz="4" w:space="0" w:color="999999"/>
              <w:left w:val="single" w:sz="4" w:space="0" w:color="003366"/>
              <w:bottom w:val="single" w:sz="4" w:space="0" w:color="003366"/>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pPr>
            <w:r>
              <w:t>User fees - $199/year for unlimited reading access and 120 PDF articles per year. User may purchase per article.</w:t>
            </w:r>
          </w:p>
        </w:tc>
        <w:tc>
          <w:tcPr>
            <w:tcW w:w="1133" w:type="dxa"/>
            <w:tcBorders>
              <w:top w:val="single" w:sz="4" w:space="0" w:color="999999"/>
              <w:left w:val="single" w:sz="4" w:space="0" w:color="003366"/>
              <w:bottom w:val="single" w:sz="4" w:space="0" w:color="003366"/>
              <w:right w:val="single" w:sz="4" w:space="0" w:color="003366"/>
            </w:tcBorders>
            <w:tcMar>
              <w:top w:w="43" w:type="dxa"/>
              <w:left w:w="115" w:type="dxa"/>
              <w:bottom w:w="43" w:type="dxa"/>
              <w:right w:w="115" w:type="dxa"/>
            </w:tcMar>
            <w:vAlign w:val="center"/>
          </w:tcPr>
          <w:p w:rsidR="00A90E3E" w:rsidRDefault="00A90E3E" w:rsidP="0093328F">
            <w:pPr>
              <w:pStyle w:val="IEcChartText"/>
              <w:spacing w:before="0" w:after="0"/>
              <w:jc w:val="center"/>
            </w:pPr>
            <w:r>
              <w:t>No</w:t>
            </w:r>
          </w:p>
        </w:tc>
      </w:tr>
    </w:tbl>
    <w:p w:rsidR="003C0905" w:rsidRDefault="003C0905" w:rsidP="00C04B21">
      <w:pPr>
        <w:pStyle w:val="IEcNormalText"/>
      </w:pPr>
    </w:p>
    <w:p w:rsidR="00C75C7F" w:rsidRDefault="00C75C7F" w:rsidP="00C04B21">
      <w:pPr>
        <w:pStyle w:val="IEcNormalText"/>
      </w:pPr>
      <w:r>
        <w:t>Thus far, we have ident</w:t>
      </w:r>
      <w:r w:rsidR="009B5FCF">
        <w:t>ified four basic approaches to funding information repositories</w:t>
      </w:r>
      <w:r>
        <w:t>, including:</w:t>
      </w:r>
    </w:p>
    <w:p w:rsidR="00784408" w:rsidRPr="000C5ACE" w:rsidRDefault="00C75C7F" w:rsidP="009B4E1A">
      <w:pPr>
        <w:pStyle w:val="IEcNormalText"/>
        <w:numPr>
          <w:ilvl w:val="0"/>
          <w:numId w:val="4"/>
        </w:numPr>
      </w:pPr>
      <w:r w:rsidRPr="00122479">
        <w:rPr>
          <w:b/>
        </w:rPr>
        <w:t>Sponsorship –</w:t>
      </w:r>
      <w:r w:rsidRPr="00853660">
        <w:rPr>
          <w:b/>
        </w:rPr>
        <w:t xml:space="preserve"> </w:t>
      </w:r>
      <w:r>
        <w:t>For</w:t>
      </w:r>
      <w:r w:rsidR="00853660">
        <w:t xml:space="preserve"> social science and evaluation repositories</w:t>
      </w:r>
      <w:r>
        <w:t xml:space="preserve">, the most common </w:t>
      </w:r>
      <w:bookmarkStart w:id="0" w:name="_GoBack"/>
      <w:bookmarkEnd w:id="0"/>
      <w:r>
        <w:t xml:space="preserve">funding </w:t>
      </w:r>
      <w:r w:rsidR="00853660">
        <w:t>sources</w:t>
      </w:r>
      <w:r>
        <w:t xml:space="preserve"> </w:t>
      </w:r>
      <w:r w:rsidR="00113BB6">
        <w:t>are</w:t>
      </w:r>
      <w:r>
        <w:t xml:space="preserve"> grants from government agencies</w:t>
      </w:r>
      <w:r w:rsidR="00853660">
        <w:t xml:space="preserve">, </w:t>
      </w:r>
      <w:r>
        <w:t>philanthropic organizations</w:t>
      </w:r>
      <w:r w:rsidR="00853660">
        <w:t>, or corporations</w:t>
      </w:r>
      <w:r>
        <w:t>.</w:t>
      </w:r>
      <w:r w:rsidR="00853660">
        <w:t xml:space="preserve"> In many cases, these systems are </w:t>
      </w:r>
      <w:r w:rsidR="00952E74">
        <w:t>wholly</w:t>
      </w:r>
      <w:r w:rsidR="00113BB6">
        <w:t xml:space="preserve"> </w:t>
      </w:r>
      <w:r w:rsidR="005804B9">
        <w:t>owned</w:t>
      </w:r>
      <w:r w:rsidR="00853660">
        <w:t xml:space="preserve"> </w:t>
      </w:r>
      <w:r w:rsidR="005804B9">
        <w:t xml:space="preserve">or </w:t>
      </w:r>
      <w:r w:rsidR="00853660">
        <w:t>funded</w:t>
      </w:r>
      <w:r w:rsidR="005804B9">
        <w:t xml:space="preserve"> </w:t>
      </w:r>
      <w:r w:rsidR="00853660">
        <w:t>by government agencies.</w:t>
      </w:r>
      <w:r w:rsidR="000C5ACE">
        <w:t xml:space="preserve"> </w:t>
      </w:r>
      <w:r w:rsidR="00853660">
        <w:t xml:space="preserve">For example, the U.S. Department of Education </w:t>
      </w:r>
      <w:r w:rsidR="005804B9">
        <w:t>funds and maintains the</w:t>
      </w:r>
      <w:r w:rsidR="00853660">
        <w:t xml:space="preserve"> </w:t>
      </w:r>
      <w:r w:rsidR="003C0905">
        <w:t>Education Resou</w:t>
      </w:r>
      <w:r w:rsidR="00853660">
        <w:t>rces Information Center (ERIC)</w:t>
      </w:r>
      <w:r w:rsidR="009B4E1A">
        <w:t>, a</w:t>
      </w:r>
      <w:r w:rsidR="009B4E1A" w:rsidRPr="009B4E1A">
        <w:t xml:space="preserve">n </w:t>
      </w:r>
      <w:r w:rsidR="009B4E1A" w:rsidRPr="009B4E1A">
        <w:lastRenderedPageBreak/>
        <w:t>online library of education research and information</w:t>
      </w:r>
      <w:r w:rsidR="00853660">
        <w:t>.</w:t>
      </w:r>
      <w:r w:rsidR="006934D9">
        <w:rPr>
          <w:rStyle w:val="FootnoteReference"/>
        </w:rPr>
        <w:footnoteReference w:id="2"/>
      </w:r>
      <w:r w:rsidR="00853660">
        <w:t xml:space="preserve"> O</w:t>
      </w:r>
      <w:r w:rsidR="003C0905">
        <w:t xml:space="preserve">thers, such as the International Initiative for Impact Evaluation (3ie), which funds evaluations and systematic reviews of development programs, receive </w:t>
      </w:r>
      <w:r w:rsidR="00853660">
        <w:t>a mix of grants</w:t>
      </w:r>
      <w:r w:rsidR="003C0905">
        <w:t xml:space="preserve"> </w:t>
      </w:r>
      <w:r w:rsidR="00853660">
        <w:t xml:space="preserve">from international </w:t>
      </w:r>
      <w:r w:rsidR="003C0905">
        <w:t>government agencies</w:t>
      </w:r>
      <w:r w:rsidR="00853660">
        <w:t xml:space="preserve"> (e.g., </w:t>
      </w:r>
      <w:r w:rsidR="003C0905">
        <w:t>UK Department for International Development, the Canadian International Development Agency, and the U.S. Agency for International Development</w:t>
      </w:r>
      <w:r w:rsidR="00853660">
        <w:t>) and</w:t>
      </w:r>
      <w:r w:rsidR="003C0905">
        <w:t xml:space="preserve"> philanthropic organizations</w:t>
      </w:r>
      <w:r w:rsidR="00853660">
        <w:t xml:space="preserve"> (e.g., Bill and Melinda Gates Foundation and Flora Hewlett Foundation</w:t>
      </w:r>
      <w:r w:rsidR="00A23B63">
        <w:t>)</w:t>
      </w:r>
      <w:r w:rsidR="003C0905">
        <w:t>.</w:t>
      </w:r>
      <w:r w:rsidR="003C0905">
        <w:rPr>
          <w:rStyle w:val="FootnoteReference"/>
        </w:rPr>
        <w:footnoteReference w:id="3"/>
      </w:r>
      <w:r w:rsidR="00853660">
        <w:t xml:space="preserve"> In </w:t>
      </w:r>
      <w:r w:rsidR="003C0905">
        <w:t>2013, the Foundation Center, which owns IssueLab, received 44 percent of its operating revenues from foundation and corporate contributions</w:t>
      </w:r>
      <w:r w:rsidR="002902B6">
        <w:t>.</w:t>
      </w:r>
      <w:r w:rsidR="003C0905">
        <w:rPr>
          <w:rStyle w:val="FootnoteReference"/>
        </w:rPr>
        <w:footnoteReference w:id="4"/>
      </w:r>
    </w:p>
    <w:p w:rsidR="00784408" w:rsidRDefault="00784408" w:rsidP="000C5ACE">
      <w:pPr>
        <w:pStyle w:val="IEcNormalText"/>
        <w:ind w:left="720"/>
      </w:pPr>
      <w:r>
        <w:t xml:space="preserve">In addition, several repositories </w:t>
      </w:r>
      <w:r w:rsidR="00C4487E">
        <w:t>pay for</w:t>
      </w:r>
      <w:r>
        <w:t xml:space="preserve"> contractor </w:t>
      </w:r>
      <w:r w:rsidR="00952E74">
        <w:t xml:space="preserve">support </w:t>
      </w:r>
      <w:r w:rsidR="00A23B63">
        <w:t xml:space="preserve">with </w:t>
      </w:r>
      <w:r>
        <w:t>government funding.</w:t>
      </w:r>
      <w:r w:rsidR="000C5ACE">
        <w:t xml:space="preserve"> </w:t>
      </w:r>
      <w:r>
        <w:t>For example, Crime Solutions, an initiative of the Office of Justice Programs within the U.S Department of Justice, contracts with Development Services Group, Inc. to coordinate evidence review and provide content</w:t>
      </w:r>
      <w:r w:rsidR="00952E74">
        <w:t xml:space="preserve">, while </w:t>
      </w:r>
      <w:r>
        <w:t>Lockheed Martin coordinate</w:t>
      </w:r>
      <w:r w:rsidR="00952E74">
        <w:t>s</w:t>
      </w:r>
      <w:r>
        <w:t xml:space="preserve"> website and technical support.</w:t>
      </w:r>
      <w:r>
        <w:rPr>
          <w:rStyle w:val="FootnoteReference"/>
        </w:rPr>
        <w:footnoteReference w:id="5"/>
      </w:r>
      <w:r>
        <w:t xml:space="preserve"> 3ie relies on </w:t>
      </w:r>
      <w:proofErr w:type="spellStart"/>
      <w:r>
        <w:t>Aptivate</w:t>
      </w:r>
      <w:proofErr w:type="spellEnd"/>
      <w:r>
        <w:t xml:space="preserve"> for web design and technical support.</w:t>
      </w:r>
      <w:r>
        <w:rPr>
          <w:rStyle w:val="FootnoteReference"/>
        </w:rPr>
        <w:footnoteReference w:id="6"/>
      </w:r>
    </w:p>
    <w:p w:rsidR="003C0905" w:rsidRDefault="00C75C7F" w:rsidP="00122479">
      <w:pPr>
        <w:pStyle w:val="IEcNormalText"/>
        <w:numPr>
          <w:ilvl w:val="0"/>
          <w:numId w:val="4"/>
        </w:numPr>
      </w:pPr>
      <w:r w:rsidRPr="00122479">
        <w:rPr>
          <w:b/>
        </w:rPr>
        <w:t xml:space="preserve">Fee-for-submission </w:t>
      </w:r>
      <w:r w:rsidR="003C0905" w:rsidRPr="00122479">
        <w:rPr>
          <w:b/>
        </w:rPr>
        <w:t>–</w:t>
      </w:r>
      <w:r w:rsidR="003C0905">
        <w:t xml:space="preserve"> Some repositories charge authors a fee to cover the cost of the publication process. Discounts and waivers are generally available, and </w:t>
      </w:r>
      <w:r w:rsidR="008D1F3A">
        <w:t>author</w:t>
      </w:r>
      <w:r w:rsidR="0000408A">
        <w:t>s</w:t>
      </w:r>
      <w:r w:rsidR="008D1F3A">
        <w:t>’</w:t>
      </w:r>
      <w:r w:rsidR="0000408A">
        <w:t xml:space="preserve"> </w:t>
      </w:r>
      <w:r w:rsidR="003C0905">
        <w:t>institutions</w:t>
      </w:r>
      <w:r w:rsidR="0000408A">
        <w:t xml:space="preserve"> are allowed</w:t>
      </w:r>
      <w:r w:rsidR="003C0905">
        <w:t xml:space="preserve"> </w:t>
      </w:r>
      <w:r w:rsidR="0000408A">
        <w:t>to</w:t>
      </w:r>
      <w:r w:rsidR="003C0905">
        <w:t xml:space="preserve"> pay the</w:t>
      </w:r>
      <w:r w:rsidR="0000408A">
        <w:t xml:space="preserve"> submission</w:t>
      </w:r>
      <w:r w:rsidR="003C0905">
        <w:t xml:space="preserve"> fees. </w:t>
      </w:r>
      <w:r w:rsidR="0000408A">
        <w:t xml:space="preserve">For example, </w:t>
      </w:r>
      <w:proofErr w:type="spellStart"/>
      <w:r w:rsidR="0000408A">
        <w:t>B</w:t>
      </w:r>
      <w:r w:rsidR="003C0905">
        <w:t>ioMed</w:t>
      </w:r>
      <w:proofErr w:type="spellEnd"/>
      <w:r w:rsidR="003C0905">
        <w:t xml:space="preserve"> Central provides access to over 100 free peer-reviewed journals in all areas of biology and medicine</w:t>
      </w:r>
      <w:r w:rsidR="0000408A">
        <w:t>. Biomed</w:t>
      </w:r>
      <w:r w:rsidR="003C0905">
        <w:t xml:space="preserve"> charges approximately $2,000 to $2,500 per article based on the journal of origin;</w:t>
      </w:r>
      <w:r w:rsidR="0000408A">
        <w:t xml:space="preserve"> however, </w:t>
      </w:r>
      <w:r w:rsidR="003C0905">
        <w:t>authors from more than 90 low-income countrie</w:t>
      </w:r>
      <w:r w:rsidR="0003536D">
        <w:t>s</w:t>
      </w:r>
      <w:r w:rsidR="003C0905">
        <w:t xml:space="preserve"> receive automatic wavers on submission </w:t>
      </w:r>
      <w:r w:rsidR="0000408A">
        <w:t>fees.</w:t>
      </w:r>
      <w:r w:rsidR="003C0905">
        <w:rPr>
          <w:rStyle w:val="FootnoteReference"/>
        </w:rPr>
        <w:footnoteReference w:id="7"/>
      </w:r>
      <w:r w:rsidR="003C0905">
        <w:t xml:space="preserve"> </w:t>
      </w:r>
    </w:p>
    <w:p w:rsidR="0003536D" w:rsidRDefault="00C75C7F">
      <w:pPr>
        <w:pStyle w:val="IEcNormalText"/>
        <w:numPr>
          <w:ilvl w:val="0"/>
          <w:numId w:val="4"/>
        </w:numPr>
      </w:pPr>
      <w:r>
        <w:rPr>
          <w:b/>
        </w:rPr>
        <w:t xml:space="preserve">Fee-for-service </w:t>
      </w:r>
      <w:r w:rsidR="00122479">
        <w:rPr>
          <w:b/>
        </w:rPr>
        <w:t>–</w:t>
      </w:r>
      <w:r w:rsidR="00122479">
        <w:t xml:space="preserve"> </w:t>
      </w:r>
      <w:r w:rsidR="0003536D">
        <w:t xml:space="preserve">Several large information repositories charge users to access content, typically from academic journals and trade publications. For example, </w:t>
      </w:r>
      <w:r w:rsidR="00784408">
        <w:t xml:space="preserve">JSTOR, which </w:t>
      </w:r>
      <w:r w:rsidR="003C0905">
        <w:t>provides</w:t>
      </w:r>
      <w:r w:rsidR="00952E74">
        <w:t xml:space="preserve"> </w:t>
      </w:r>
      <w:r w:rsidR="003C0905">
        <w:t>access</w:t>
      </w:r>
      <w:r w:rsidR="00952E74">
        <w:t xml:space="preserve"> to</w:t>
      </w:r>
      <w:r w:rsidR="003C0905">
        <w:t xml:space="preserve"> </w:t>
      </w:r>
      <w:r w:rsidR="00784408">
        <w:t>its vast library of more than</w:t>
      </w:r>
      <w:r w:rsidR="003C0905">
        <w:t xml:space="preserve"> 2,000 academic journals,</w:t>
      </w:r>
      <w:r w:rsidR="0003536D">
        <w:t xml:space="preserve"> allows users to purchase articles on an individual basis.</w:t>
      </w:r>
      <w:r w:rsidR="00952E74">
        <w:rPr>
          <w:rStyle w:val="FootnoteReference"/>
        </w:rPr>
        <w:footnoteReference w:id="8"/>
      </w:r>
      <w:r w:rsidR="000C5ACE">
        <w:t xml:space="preserve"> </w:t>
      </w:r>
      <w:r w:rsidR="00784408">
        <w:t>In addition, IssueLab charges services fees for the development, hosting, and maintenance of its Knowledge Center repositories.</w:t>
      </w:r>
      <w:r w:rsidR="002902B6">
        <w:rPr>
          <w:rStyle w:val="FootnoteReference"/>
        </w:rPr>
        <w:footnoteReference w:id="9"/>
      </w:r>
    </w:p>
    <w:p w:rsidR="00C75C7F" w:rsidRDefault="00C75C7F" w:rsidP="00122479">
      <w:pPr>
        <w:pStyle w:val="IEcNormalText"/>
        <w:numPr>
          <w:ilvl w:val="0"/>
          <w:numId w:val="4"/>
        </w:numPr>
      </w:pPr>
      <w:r w:rsidRPr="00122479">
        <w:rPr>
          <w:b/>
        </w:rPr>
        <w:t xml:space="preserve">Membership </w:t>
      </w:r>
      <w:r w:rsidR="00853660" w:rsidRPr="00122479">
        <w:rPr>
          <w:b/>
        </w:rPr>
        <w:t xml:space="preserve">– </w:t>
      </w:r>
      <w:r w:rsidR="00784408">
        <w:t>Both of the large repositories evaluated to date, EBSCO Host and JSTOR offer membership plans, which, depending on the plan, allow for the download of a certain number of documents. For example,</w:t>
      </w:r>
      <w:r w:rsidR="002902B6">
        <w:t xml:space="preserve"> </w:t>
      </w:r>
      <w:r w:rsidR="0003536D">
        <w:t>for $199 a year</w:t>
      </w:r>
      <w:r w:rsidR="00952E74">
        <w:t>,</w:t>
      </w:r>
      <w:r w:rsidR="0003536D">
        <w:t xml:space="preserve"> a</w:t>
      </w:r>
      <w:r w:rsidR="002902B6">
        <w:t xml:space="preserve"> JSTOR user enjoys</w:t>
      </w:r>
      <w:r w:rsidR="0003536D">
        <w:t xml:space="preserve"> unlimited reading access and can download 120 articles per year.</w:t>
      </w:r>
      <w:r w:rsidR="0003536D">
        <w:rPr>
          <w:rStyle w:val="FootnoteReference"/>
        </w:rPr>
        <w:footnoteReference w:id="10"/>
      </w:r>
      <w:r w:rsidR="0003536D" w:rsidRPr="00122479">
        <w:rPr>
          <w:vertAlign w:val="superscript"/>
        </w:rPr>
        <w:t xml:space="preserve">, </w:t>
      </w:r>
      <w:r w:rsidR="0003536D">
        <w:rPr>
          <w:rStyle w:val="FootnoteReference"/>
        </w:rPr>
        <w:footnoteReference w:id="11"/>
      </w:r>
    </w:p>
    <w:p w:rsidR="00AC3F0B" w:rsidRDefault="00784408" w:rsidP="000C5ACE">
      <w:pPr>
        <w:pStyle w:val="IEcHeadingAinreport"/>
        <w:keepNext/>
      </w:pPr>
      <w:r>
        <w:lastRenderedPageBreak/>
        <w:t>Implications for A</w:t>
      </w:r>
      <w:r w:rsidR="003E5B53">
        <w:rPr>
          <w:caps w:val="0"/>
        </w:rPr>
        <w:t>rch</w:t>
      </w:r>
      <w:r>
        <w:t>ee</w:t>
      </w:r>
    </w:p>
    <w:p w:rsidR="002155EB" w:rsidRDefault="00122479" w:rsidP="000C5ACE">
      <w:pPr>
        <w:pStyle w:val="IEcNormalText"/>
      </w:pPr>
      <w:r>
        <w:t xml:space="preserve">EEN has set a primary goal for ArchEE to </w:t>
      </w:r>
      <w:r w:rsidR="003E5B53">
        <w:t>provide</w:t>
      </w:r>
      <w:r>
        <w:t xml:space="preserve"> open and free access to environmental evaluations and other evidence-based management literature.</w:t>
      </w:r>
      <w:r w:rsidR="003E5B53">
        <w:t xml:space="preserve"> </w:t>
      </w:r>
      <w:r>
        <w:t>Our preliminary research indicates that sponsorship</w:t>
      </w:r>
      <w:r w:rsidR="00A23B63">
        <w:t>s</w:t>
      </w:r>
      <w:r>
        <w:t xml:space="preserve"> </w:t>
      </w:r>
      <w:r w:rsidR="00952E74">
        <w:t>are</w:t>
      </w:r>
      <w:r w:rsidR="003531EE">
        <w:t xml:space="preserve"> the</w:t>
      </w:r>
      <w:r w:rsidR="003E5B53">
        <w:t xml:space="preserve"> </w:t>
      </w:r>
      <w:r w:rsidR="003531EE">
        <w:t>principal</w:t>
      </w:r>
      <w:r w:rsidR="003E5B53">
        <w:t xml:space="preserve"> funding </w:t>
      </w:r>
      <w:r w:rsidR="003531EE">
        <w:t>mechanism</w:t>
      </w:r>
      <w:r w:rsidR="003E5B53">
        <w:t xml:space="preserve"> for </w:t>
      </w:r>
      <w:r w:rsidR="003531EE">
        <w:t xml:space="preserve">similar </w:t>
      </w:r>
      <w:r w:rsidR="003E5B53">
        <w:t xml:space="preserve">social science information repositories, including those that house evaluations. It appears </w:t>
      </w:r>
      <w:r w:rsidR="003531EE">
        <w:t>that</w:t>
      </w:r>
      <w:r w:rsidR="003E5B53">
        <w:t xml:space="preserve"> </w:t>
      </w:r>
      <w:r w:rsidR="00A23B63">
        <w:t xml:space="preserve">the </w:t>
      </w:r>
      <w:r w:rsidR="003E5B53">
        <w:t xml:space="preserve">government </w:t>
      </w:r>
      <w:r w:rsidR="003531EE">
        <w:t xml:space="preserve">is the most important sponsor </w:t>
      </w:r>
      <w:r w:rsidR="003E5B53">
        <w:t xml:space="preserve">of open access repositories, with </w:t>
      </w:r>
      <w:r w:rsidR="003531EE">
        <w:t xml:space="preserve">some </w:t>
      </w:r>
      <w:r w:rsidR="003E5B53">
        <w:t>assistance from philanthropic organizations</w:t>
      </w:r>
      <w:r w:rsidR="003531EE">
        <w:t xml:space="preserve"> and corporations</w:t>
      </w:r>
      <w:r w:rsidR="003E5B53">
        <w:t>.</w:t>
      </w:r>
      <w:r w:rsidR="003531EE">
        <w:t xml:space="preserve"> Fee-</w:t>
      </w:r>
      <w:r w:rsidR="003E5B53">
        <w:t>for</w:t>
      </w:r>
      <w:r w:rsidR="003531EE">
        <w:t>-</w:t>
      </w:r>
      <w:r w:rsidR="003E5B53">
        <w:t>service and membership arrangement</w:t>
      </w:r>
      <w:r w:rsidR="003531EE">
        <w:t>s</w:t>
      </w:r>
      <w:r w:rsidR="003E5B53">
        <w:t xml:space="preserve"> violate the</w:t>
      </w:r>
      <w:r w:rsidR="003531EE">
        <w:t xml:space="preserve"> spirit of</w:t>
      </w:r>
      <w:r w:rsidR="003E5B53">
        <w:t xml:space="preserve"> open access principle</w:t>
      </w:r>
      <w:r w:rsidR="003531EE">
        <w:t>s</w:t>
      </w:r>
      <w:r w:rsidR="003E5B53">
        <w:t xml:space="preserve"> by charging users </w:t>
      </w:r>
      <w:r w:rsidR="003531EE">
        <w:t>to read content. F</w:t>
      </w:r>
      <w:r w:rsidR="00A23B63">
        <w:t>unding through f</w:t>
      </w:r>
      <w:r w:rsidR="003531EE">
        <w:t>ee-for-</w:t>
      </w:r>
      <w:r>
        <w:t xml:space="preserve">submission </w:t>
      </w:r>
      <w:r w:rsidR="003E5B53">
        <w:t>likely</w:t>
      </w:r>
      <w:r>
        <w:t xml:space="preserve"> discourage</w:t>
      </w:r>
      <w:r w:rsidR="003531EE">
        <w:t>s</w:t>
      </w:r>
      <w:r>
        <w:t xml:space="preserve"> authors from </w:t>
      </w:r>
      <w:r w:rsidR="003531EE">
        <w:t>providing source material</w:t>
      </w:r>
      <w:r w:rsidR="002155EB">
        <w:t xml:space="preserve"> to the repository</w:t>
      </w:r>
      <w:r w:rsidR="003531EE">
        <w:t xml:space="preserve">. </w:t>
      </w:r>
      <w:r w:rsidR="00952E74">
        <w:t>With respect to ArchEE, t</w:t>
      </w:r>
      <w:r w:rsidR="003531EE">
        <w:t xml:space="preserve">hese fee-based funding approaches may have </w:t>
      </w:r>
      <w:r w:rsidR="00A23B63">
        <w:t xml:space="preserve">a </w:t>
      </w:r>
      <w:r w:rsidR="003531EE">
        <w:t>dampening effect on user adoption</w:t>
      </w:r>
      <w:r w:rsidR="003E5B53">
        <w:t xml:space="preserve"> </w:t>
      </w:r>
      <w:r w:rsidR="003531EE">
        <w:t xml:space="preserve">and </w:t>
      </w:r>
      <w:r w:rsidR="00952E74">
        <w:t>could</w:t>
      </w:r>
      <w:r w:rsidR="003531EE">
        <w:t xml:space="preserve"> </w:t>
      </w:r>
      <w:r w:rsidR="003E5B53">
        <w:t>inhibit</w:t>
      </w:r>
      <w:r w:rsidR="003531EE">
        <w:t xml:space="preserve"> </w:t>
      </w:r>
      <w:r w:rsidR="003E5B53">
        <w:t>buy-in from key users and institutions.</w:t>
      </w:r>
      <w:r w:rsidR="002155EB">
        <w:t xml:space="preserve"> Consequently, our preliminary research suggests that </w:t>
      </w:r>
      <w:r w:rsidR="00952E74">
        <w:t xml:space="preserve">a </w:t>
      </w:r>
      <w:r w:rsidR="002155EB">
        <w:t xml:space="preserve">sponsorship approach to funding ArchEE will likely </w:t>
      </w:r>
      <w:r w:rsidR="00952E74">
        <w:t>provide</w:t>
      </w:r>
      <w:r w:rsidR="002155EB">
        <w:t xml:space="preserve"> the best </w:t>
      </w:r>
      <w:r w:rsidR="00952E74">
        <w:t>opportunity</w:t>
      </w:r>
      <w:r w:rsidR="002155EB">
        <w:t xml:space="preserve"> for </w:t>
      </w:r>
      <w:r w:rsidR="00952E74">
        <w:t>success by encouraging</w:t>
      </w:r>
      <w:r w:rsidR="002155EB">
        <w:t xml:space="preserve"> site adoption for both readers and authors. </w:t>
      </w:r>
    </w:p>
    <w:p w:rsidR="004215F9" w:rsidRDefault="00122479" w:rsidP="000C5ACE">
      <w:pPr>
        <w:pStyle w:val="IEcNormalText"/>
      </w:pPr>
      <w:r>
        <w:t>EPA has expressed concerns about the perception of bias, if it were to pr</w:t>
      </w:r>
      <w:r w:rsidR="003E5B53">
        <w:t>ovide direct funding for ArchEE.</w:t>
      </w:r>
      <w:r w:rsidR="000C5ACE">
        <w:t xml:space="preserve"> </w:t>
      </w:r>
      <w:r w:rsidR="00952E74">
        <w:t>As a result, the Agency</w:t>
      </w:r>
      <w:r w:rsidR="004215F9">
        <w:t xml:space="preserve"> may wish to explore the potential for EEN to fund the initial construction of ArchEE, as </w:t>
      </w:r>
      <w:r w:rsidR="00876BC6">
        <w:t>its member</w:t>
      </w:r>
      <w:r w:rsidR="008D1F3A">
        <w:t>s’</w:t>
      </w:r>
      <w:r w:rsidR="00876BC6">
        <w:t xml:space="preserve"> experience and</w:t>
      </w:r>
      <w:r w:rsidR="00C76A89">
        <w:t xml:space="preserve"> expertise put them</w:t>
      </w:r>
      <w:r w:rsidR="004215F9">
        <w:t xml:space="preserve"> </w:t>
      </w:r>
      <w:r w:rsidR="00A23B63">
        <w:t xml:space="preserve">in the </w:t>
      </w:r>
      <w:r w:rsidR="004215F9">
        <w:t xml:space="preserve">best position to guide its development. A successful implementation </w:t>
      </w:r>
      <w:r w:rsidR="00952E74">
        <w:t xml:space="preserve">using </w:t>
      </w:r>
      <w:r w:rsidR="00A23B63">
        <w:t xml:space="preserve">EEN </w:t>
      </w:r>
      <w:r w:rsidR="00952E74">
        <w:t>startup funds could</w:t>
      </w:r>
      <w:r w:rsidR="004215F9">
        <w:t xml:space="preserve"> provide positive momentum </w:t>
      </w:r>
      <w:r w:rsidR="001D3215">
        <w:t>and</w:t>
      </w:r>
      <w:r w:rsidR="004215F9">
        <w:t xml:space="preserve"> </w:t>
      </w:r>
      <w:r w:rsidR="00A23B63">
        <w:t xml:space="preserve">attract </w:t>
      </w:r>
      <w:r w:rsidR="004215F9">
        <w:t>other potential funders</w:t>
      </w:r>
      <w:r w:rsidR="001D3215">
        <w:t xml:space="preserve"> to ArchEE</w:t>
      </w:r>
      <w:r w:rsidR="004215F9">
        <w:t xml:space="preserve"> over time. </w:t>
      </w:r>
    </w:p>
    <w:p w:rsidR="001E6E8C" w:rsidRDefault="00C75C7F" w:rsidP="000C5ACE">
      <w:pPr>
        <w:pStyle w:val="IEcHeadingAinreport"/>
      </w:pPr>
      <w:r>
        <w:t>NEXT STEP</w:t>
      </w:r>
      <w:r w:rsidR="002155EB">
        <w:t>S</w:t>
      </w:r>
    </w:p>
    <w:p w:rsidR="002155EB" w:rsidRDefault="002155EB">
      <w:r>
        <w:t>Und</w:t>
      </w:r>
      <w:r w:rsidR="004215F9">
        <w:t>er Task 3, IEc will complete its</w:t>
      </w:r>
      <w:r>
        <w:t xml:space="preserve"> funding research by examining the costs associated with </w:t>
      </w:r>
      <w:r w:rsidR="004215F9">
        <w:t>information repositories, including initial/startup, maintenance, hosting, and data storage costs.</w:t>
      </w:r>
      <w:r w:rsidR="001D3215">
        <w:t xml:space="preserve"> Gathering this information may require interviews with individuals who run similar repositories.</w:t>
      </w:r>
      <w:r w:rsidR="004215F9">
        <w:t xml:space="preserve"> In particular, as part of our continuing </w:t>
      </w:r>
      <w:r w:rsidR="00A23B63">
        <w:t xml:space="preserve">conversations </w:t>
      </w:r>
      <w:r w:rsidR="004215F9">
        <w:t xml:space="preserve">with IssueLab, we will discuss the costs associated with developing a Knowledge Center </w:t>
      </w:r>
      <w:r w:rsidR="00A23B63">
        <w:t xml:space="preserve">for </w:t>
      </w:r>
      <w:r w:rsidR="004215F9">
        <w:t>environmental evaluations, as this may provide a lower cost option than building a new repository from the ground up.</w:t>
      </w:r>
      <w:r w:rsidR="001D3215">
        <w:t xml:space="preserve"> </w:t>
      </w:r>
    </w:p>
    <w:p w:rsidR="002155EB" w:rsidRDefault="002155EB"/>
    <w:p w:rsidR="001E6E8C" w:rsidRDefault="00A90E3E">
      <w:pPr>
        <w:pStyle w:val="Heading1"/>
      </w:pPr>
      <w:r>
        <w:rPr>
          <w:noProof/>
          <w:sz w:val="20"/>
        </w:rPr>
        <w:pict>
          <v:shapetype id="_x0000_t202" coordsize="21600,21600" o:spt="202" path="m,l,21600r21600,l21600,xe">
            <v:stroke joinstyle="miter"/>
            <v:path gradientshapeok="t" o:connecttype="rect"/>
          </v:shapetype>
          <v:shape id="Text Box 26" o:spid="_x0000_s1026" type="#_x0000_t202" style="position:absolute;margin-left:-124.4pt;margin-top:11.45pt;width:123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6KggIAABA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" stroked="f">
            <v:textbox>
              <w:txbxContent>
                <w:p w:rsidR="00113BB6" w:rsidRDefault="00113BB6"/>
              </w:txbxContent>
            </v:textbox>
          </v:shape>
        </w:pict>
      </w:r>
    </w:p>
    <w:p w:rsidR="00792048" w:rsidRDefault="00792048">
      <w:pPr>
        <w:pStyle w:val="IEcExhibitTitle"/>
      </w:pPr>
    </w:p>
    <w:sectPr w:rsidR="00792048" w:rsidSect="008F66C9">
      <w:footerReference w:type="default" r:id="rId9"/>
      <w:headerReference w:type="first" r:id="rId10"/>
      <w:footerReference w:type="first" r:id="rId11"/>
      <w:pgSz w:w="12240" w:h="15840"/>
      <w:pgMar w:top="1440" w:right="1080" w:bottom="432" w:left="322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B6" w:rsidRDefault="00113BB6">
      <w:r>
        <w:separator/>
      </w:r>
    </w:p>
  </w:endnote>
  <w:endnote w:type="continuationSeparator" w:id="0">
    <w:p w:rsidR="00113BB6" w:rsidRDefault="0011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B6" w:rsidRDefault="00113BB6" w:rsidP="000C5ACE">
    <w:pPr>
      <w:pStyle w:val="Footer"/>
      <w:tabs>
        <w:tab w:val="clear" w:pos="8640"/>
        <w:tab w:val="right" w:pos="7830"/>
      </w:tabs>
      <w:jc w:val="center"/>
    </w:pPr>
    <w:r>
      <w:tab/>
    </w:r>
    <w:r>
      <w:tab/>
    </w:r>
    <w:sdt>
      <w:sdtPr>
        <w:id w:val="-307397251"/>
        <w:docPartObj>
          <w:docPartGallery w:val="Page Numbers (Bottom of Page)"/>
          <w:docPartUnique/>
        </w:docPartObj>
      </w:sdtPr>
      <w:sdtEndPr>
        <w:rPr>
          <w:noProof/>
        </w:rPr>
      </w:sdtEndPr>
      <w:sdtContent>
        <w:r w:rsidR="00C76A89">
          <w:fldChar w:fldCharType="begin"/>
        </w:r>
        <w:r w:rsidR="00C76A89">
          <w:instrText xml:space="preserve"> PAGE   \* MERGEFORMAT </w:instrText>
        </w:r>
        <w:r w:rsidR="00C76A89">
          <w:fldChar w:fldCharType="separate"/>
        </w:r>
        <w:r w:rsidR="00A90E3E" w:rsidRPr="00A90E3E">
          <w:rPr>
            <w:noProof/>
            <w:color w:val="C00000"/>
            <w:sz w:val="18"/>
            <w:szCs w:val="18"/>
          </w:rPr>
          <w:t>2</w:t>
        </w:r>
        <w:r w:rsidR="00C76A89">
          <w:rPr>
            <w:noProof/>
            <w:color w:val="C00000"/>
            <w:sz w:val="18"/>
            <w:szCs w:val="18"/>
          </w:rPr>
          <w:fldChar w:fldCharType="end"/>
        </w:r>
      </w:sdtContent>
    </w:sdt>
  </w:p>
  <w:p w:rsidR="00113BB6" w:rsidRDefault="00113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B6" w:rsidRDefault="00113BB6">
    <w:pPr>
      <w:tabs>
        <w:tab w:val="left" w:pos="-540"/>
        <w:tab w:val="left" w:pos="7740"/>
      </w:tabs>
      <w:spacing w:line="240" w:lineRule="auto"/>
      <w:ind w:left="-1890"/>
      <w:jc w:val="right"/>
      <w:rPr>
        <w:rStyle w:val="PageNumber"/>
      </w:rPr>
    </w:pPr>
    <w:r>
      <w:rPr>
        <w:rStyle w:val="PageNumber"/>
        <w:rFonts w:ascii="Trebuchet MS" w:hAnsi="Trebuchet MS"/>
        <w:b/>
        <w:color w:val="003366"/>
        <w:sz w:val="18"/>
      </w:rPr>
      <w:tab/>
    </w:r>
  </w:p>
  <w:p w:rsidR="00113BB6" w:rsidRDefault="00113BB6">
    <w:pPr>
      <w:pStyle w:val="IEcPage"/>
      <w:rPr>
        <w:rStyle w:val="PageNumber"/>
        <w:rFonts w:ascii="Times New Roman" w:hAnsi="Times New Roman"/>
        <w:color w:val="auto"/>
        <w:sz w:val="22"/>
      </w:rPr>
    </w:pPr>
  </w:p>
  <w:p w:rsidR="00113BB6" w:rsidRDefault="00113BB6">
    <w:pPr>
      <w:tabs>
        <w:tab w:val="left" w:pos="-540"/>
        <w:tab w:val="left" w:pos="7740"/>
      </w:tabs>
      <w:spacing w:line="240" w:lineRule="auto"/>
      <w:ind w:left="-1890"/>
      <w:jc w:val="right"/>
      <w:rPr>
        <w:rStyle w:val="PageNumber"/>
        <w:rFonts w:ascii="Trebuchet MS" w:hAnsi="Trebuchet MS"/>
        <w:color w:val="800000"/>
        <w:sz w:val="17"/>
      </w:rPr>
    </w:pPr>
  </w:p>
  <w:p w:rsidR="00113BB6" w:rsidRDefault="00113BB6">
    <w:pPr>
      <w:pStyle w:val="IEcPage"/>
      <w:rPr>
        <w:rStyle w:val="PageNumber"/>
        <w:rFonts w:ascii="Times New Roman" w:hAnsi="Times New Roman"/>
        <w:color w:val="auto"/>
        <w:sz w:val="22"/>
      </w:rPr>
    </w:pPr>
    <w:r>
      <w:rPr>
        <w:rStyle w:val="PageNumber"/>
        <w:b/>
        <w:color w:val="003366"/>
        <w:sz w:val="18"/>
      </w:rPr>
      <w:tab/>
    </w:r>
    <w:r>
      <w:rPr>
        <w:rStyle w:val="PageNumber"/>
        <w:b/>
        <w:color w:val="003366"/>
        <w:sz w:val="18"/>
      </w:rPr>
      <w:tab/>
    </w:r>
    <w:r>
      <w:rPr>
        <w:rStyle w:val="PageNumber"/>
        <w:b/>
        <w:color w:val="003366"/>
        <w:sz w:val="18"/>
      </w:rPr>
      <w:tab/>
    </w:r>
    <w:r>
      <w:rPr>
        <w:rStyle w:val="PageNumber"/>
        <w:b/>
        <w:color w:val="003366"/>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A90E3E">
      <w:rPr>
        <w:rStyle w:val="PageNumber"/>
        <w:noProof/>
        <w:sz w:val="18"/>
      </w:rPr>
      <w:t>1</w:t>
    </w:r>
    <w:r>
      <w:rPr>
        <w:rStyle w:val="PageNumber"/>
        <w:sz w:val="18"/>
      </w:rPr>
      <w:fldChar w:fldCharType="end"/>
    </w:r>
    <w:r>
      <w:rPr>
        <w:rStyle w:val="PageNumber"/>
        <w:sz w:val="18"/>
      </w:rPr>
      <w:tab/>
    </w:r>
  </w:p>
  <w:p w:rsidR="00113BB6" w:rsidRDefault="00113BB6">
    <w:pPr>
      <w:spacing w:line="240" w:lineRule="auto"/>
      <w:ind w:left="-900"/>
      <w:rPr>
        <w:rStyle w:val="PageNumber"/>
        <w:rFonts w:ascii="Trebuchet MS" w:hAnsi="Trebuchet MS"/>
        <w:color w:val="800000"/>
        <w:sz w:val="17"/>
      </w:rPr>
    </w:pPr>
  </w:p>
  <w:p w:rsidR="00113BB6" w:rsidRDefault="00113BB6">
    <w:pPr>
      <w:spacing w:line="240" w:lineRule="auto"/>
      <w:ind w:left="-900"/>
      <w:rPr>
        <w:b/>
        <w:noProof/>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B6" w:rsidRDefault="00113BB6">
      <w:r>
        <w:separator/>
      </w:r>
    </w:p>
  </w:footnote>
  <w:footnote w:type="continuationSeparator" w:id="0">
    <w:p w:rsidR="00113BB6" w:rsidRDefault="00113BB6">
      <w:r>
        <w:continuationSeparator/>
      </w:r>
    </w:p>
  </w:footnote>
  <w:footnote w:id="1">
    <w:p w:rsidR="00113BB6" w:rsidRDefault="00113BB6" w:rsidP="000C5ACE">
      <w:pPr>
        <w:pStyle w:val="IEcFootnoteText"/>
      </w:pPr>
      <w:r>
        <w:rPr>
          <w:rStyle w:val="FootnoteReference"/>
        </w:rPr>
        <w:footnoteRef/>
      </w:r>
      <w:r>
        <w:t xml:space="preserve"> See “Repositories of Evidence Review.” Memorandum to Matt Keene and Scott Bowles, EPA from Daniel Kaufman, Nick Pittman, and Tracy-Dyke-Redmond, IEc. September 19, 2013.</w:t>
      </w:r>
    </w:p>
  </w:footnote>
  <w:footnote w:id="2">
    <w:p w:rsidR="00113BB6" w:rsidRDefault="00113BB6" w:rsidP="000C5ACE">
      <w:pPr>
        <w:pStyle w:val="IEcFootnoteText"/>
      </w:pPr>
      <w:r>
        <w:rPr>
          <w:rStyle w:val="FootnoteReference"/>
        </w:rPr>
        <w:footnoteRef/>
      </w:r>
      <w:r>
        <w:t xml:space="preserve"> “50 Years of Eric,” accessed July 17, 2014 at </w:t>
      </w:r>
      <w:r w:rsidRPr="005804B9">
        <w:t>http://eric.ed.gov/pdf/ERIC_Retrospective.pdf</w:t>
      </w:r>
      <w:r>
        <w:t xml:space="preserve">. </w:t>
      </w:r>
    </w:p>
  </w:footnote>
  <w:footnote w:id="3">
    <w:p w:rsidR="00113BB6" w:rsidRDefault="00113BB6" w:rsidP="000C5ACE">
      <w:pPr>
        <w:pStyle w:val="IEcFootnoteText"/>
      </w:pPr>
      <w:r>
        <w:rPr>
          <w:rStyle w:val="FootnoteReference"/>
        </w:rPr>
        <w:footnoteRef/>
      </w:r>
      <w:r>
        <w:t xml:space="preserve"> “3ie Annual Report 2013,” accessed July 17, 2014 at </w:t>
      </w:r>
      <w:r w:rsidRPr="006103E9">
        <w:t>http://www.3ieimpact.org/media/filer_public/2014/04/01/3ie_annual_report_final_web_270314.pdf</w:t>
      </w:r>
      <w:r>
        <w:t>.</w:t>
      </w:r>
    </w:p>
  </w:footnote>
  <w:footnote w:id="4">
    <w:p w:rsidR="00113BB6" w:rsidRDefault="00113BB6" w:rsidP="000C5ACE">
      <w:pPr>
        <w:pStyle w:val="IEcFootnoteText"/>
      </w:pPr>
      <w:r>
        <w:rPr>
          <w:rStyle w:val="FootnoteReference"/>
        </w:rPr>
        <w:footnoteRef/>
      </w:r>
      <w:r>
        <w:t xml:space="preserve"> “Foundation Center 2013 Annual Report,” accessed July 18, 2014 at </w:t>
      </w:r>
      <w:r w:rsidRPr="005964F9">
        <w:t>http://foundationcenter.org/about/FCAR13_condensed.pdf</w:t>
      </w:r>
      <w:r>
        <w:t>.</w:t>
      </w:r>
    </w:p>
  </w:footnote>
  <w:footnote w:id="5">
    <w:p w:rsidR="00113BB6" w:rsidRDefault="00113BB6" w:rsidP="000C5ACE">
      <w:pPr>
        <w:pStyle w:val="IEcFootnoteText"/>
      </w:pPr>
      <w:r>
        <w:rPr>
          <w:rStyle w:val="FootnoteReference"/>
        </w:rPr>
        <w:footnoteRef/>
      </w:r>
      <w:r>
        <w:t xml:space="preserve"> “FAQs”, accessed July 17, 2014 at </w:t>
      </w:r>
      <w:r w:rsidRPr="002C53BA">
        <w:t>https://www.crimesolutions.gov/faqs.aspx#General Questions</w:t>
      </w:r>
      <w:r>
        <w:t>.</w:t>
      </w:r>
    </w:p>
  </w:footnote>
  <w:footnote w:id="6">
    <w:p w:rsidR="00113BB6" w:rsidRDefault="00113BB6" w:rsidP="000C5ACE">
      <w:pPr>
        <w:pStyle w:val="IEcFootnoteText"/>
      </w:pPr>
      <w:r>
        <w:rPr>
          <w:rStyle w:val="FootnoteReference"/>
        </w:rPr>
        <w:footnoteRef/>
      </w:r>
      <w:r>
        <w:t xml:space="preserve"> “3ie Impact – Website,” accessed July 17, 2014 at </w:t>
      </w:r>
      <w:r w:rsidRPr="0054501D">
        <w:t>http://www.aptivate.org/en/work/projects/3ieimpact/</w:t>
      </w:r>
      <w:r>
        <w:t>.</w:t>
      </w:r>
    </w:p>
  </w:footnote>
  <w:footnote w:id="7">
    <w:p w:rsidR="00113BB6" w:rsidRDefault="00113BB6" w:rsidP="000C5ACE">
      <w:pPr>
        <w:pStyle w:val="IEcFootnoteText"/>
      </w:pPr>
      <w:r>
        <w:rPr>
          <w:rStyle w:val="FootnoteReference"/>
        </w:rPr>
        <w:footnoteRef/>
      </w:r>
      <w:r>
        <w:t xml:space="preserve"> “Do authors from low-income countries have to pay APCs?,” accessed July 17, 2014 at </w:t>
      </w:r>
      <w:r w:rsidRPr="00787181">
        <w:t>http://www.biomedcentral.com/about/apcfaq/developingcountries</w:t>
      </w:r>
      <w:r>
        <w:t>.</w:t>
      </w:r>
    </w:p>
  </w:footnote>
  <w:footnote w:id="8">
    <w:p w:rsidR="00113BB6" w:rsidRDefault="00113BB6" w:rsidP="000C5ACE">
      <w:pPr>
        <w:pStyle w:val="IEcFootnoteText"/>
      </w:pPr>
      <w:r>
        <w:rPr>
          <w:rStyle w:val="FootnoteReference"/>
        </w:rPr>
        <w:footnoteRef/>
      </w:r>
      <w:r>
        <w:t xml:space="preserve"> As a nonprofit organization, JSTOR also receives Archive Capital Fees from libraries around the world.</w:t>
      </w:r>
    </w:p>
  </w:footnote>
  <w:footnote w:id="9">
    <w:p w:rsidR="00113BB6" w:rsidRDefault="00113BB6" w:rsidP="000C5ACE">
      <w:pPr>
        <w:pStyle w:val="IEcFootnoteText"/>
      </w:pPr>
      <w:r>
        <w:rPr>
          <w:rStyle w:val="FootnoteReference"/>
        </w:rPr>
        <w:footnoteRef/>
      </w:r>
      <w:r>
        <w:t xml:space="preserve"> Personal communication with Gabi Fitz and Lisa Brooks, IssueLab.  July 15, 2014.</w:t>
      </w:r>
    </w:p>
  </w:footnote>
  <w:footnote w:id="10">
    <w:p w:rsidR="00113BB6" w:rsidRDefault="00113BB6" w:rsidP="000C5ACE">
      <w:pPr>
        <w:pStyle w:val="IEcFootnoteText"/>
      </w:pPr>
      <w:r>
        <w:rPr>
          <w:rStyle w:val="FootnoteReference"/>
        </w:rPr>
        <w:footnoteRef/>
      </w:r>
      <w:r>
        <w:t xml:space="preserve"> “Register &amp; Read,” accessed July 17, 2014 at </w:t>
      </w:r>
      <w:r w:rsidRPr="009D21E0">
        <w:t>http://about.jstor.org/rr</w:t>
      </w:r>
      <w:r>
        <w:t>.</w:t>
      </w:r>
    </w:p>
  </w:footnote>
  <w:footnote w:id="11">
    <w:p w:rsidR="00113BB6" w:rsidRDefault="00113BB6" w:rsidP="000C5ACE">
      <w:pPr>
        <w:pStyle w:val="IEcFootnoteText"/>
      </w:pPr>
      <w:r>
        <w:rPr>
          <w:rStyle w:val="FootnoteReference"/>
        </w:rPr>
        <w:footnoteRef/>
      </w:r>
      <w:r>
        <w:t xml:space="preserve"> “Purchase JPASS,” accessed July 17, 2014 at </w:t>
      </w:r>
      <w:r w:rsidRPr="009D21E0">
        <w:t>http://jpass.jstor.org/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B6" w:rsidRDefault="00113BB6">
    <w:pPr>
      <w:spacing w:line="240" w:lineRule="auto"/>
      <w:ind w:left="-648"/>
    </w:pPr>
  </w:p>
  <w:p w:rsidR="00113BB6" w:rsidRDefault="00113B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5F83"/>
    <w:multiLevelType w:val="hybridMultilevel"/>
    <w:tmpl w:val="C36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A4650"/>
    <w:multiLevelType w:val="hybridMultilevel"/>
    <w:tmpl w:val="180AB664"/>
    <w:lvl w:ilvl="0" w:tplc="FFFFFFFF">
      <w:start w:val="1"/>
      <w:numFmt w:val="bullet"/>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
    <w:nsid w:val="6AC02380"/>
    <w:multiLevelType w:val="hybridMultilevel"/>
    <w:tmpl w:val="9716A11E"/>
    <w:lvl w:ilvl="0" w:tplc="A2C603DE">
      <w:start w:val="1"/>
      <w:numFmt w:val="bullet"/>
      <w:lvlText w:val=""/>
      <w:lvlJc w:val="left"/>
      <w:pPr>
        <w:tabs>
          <w:tab w:val="num" w:pos="806"/>
        </w:tabs>
        <w:ind w:left="648" w:hanging="202"/>
      </w:pPr>
      <w:rPr>
        <w:rFonts w:ascii="Symbol" w:hAnsi="Symbol" w:hint="default"/>
        <w:sz w:val="16"/>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3">
    <w:nsid w:val="76283293"/>
    <w:multiLevelType w:val="hybridMultilevel"/>
    <w:tmpl w:val="9716A11E"/>
    <w:lvl w:ilvl="0" w:tplc="7D98A364">
      <w:start w:val="1"/>
      <w:numFmt w:val="bullet"/>
      <w:pStyle w:val="IEcBulletText"/>
      <w:lvlText w:val=""/>
      <w:lvlJc w:val="left"/>
      <w:pPr>
        <w:tabs>
          <w:tab w:val="num" w:pos="878"/>
        </w:tabs>
        <w:ind w:left="878"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F68DC"/>
    <w:rsid w:val="0000408A"/>
    <w:rsid w:val="00024EDF"/>
    <w:rsid w:val="0003536D"/>
    <w:rsid w:val="00042C79"/>
    <w:rsid w:val="00063F26"/>
    <w:rsid w:val="000647ED"/>
    <w:rsid w:val="000C4CFF"/>
    <w:rsid w:val="000C5ACE"/>
    <w:rsid w:val="00113BB6"/>
    <w:rsid w:val="00122479"/>
    <w:rsid w:val="001340C6"/>
    <w:rsid w:val="00153F2E"/>
    <w:rsid w:val="001613B4"/>
    <w:rsid w:val="0016314E"/>
    <w:rsid w:val="00164A96"/>
    <w:rsid w:val="00194FB0"/>
    <w:rsid w:val="001B38D9"/>
    <w:rsid w:val="001D3215"/>
    <w:rsid w:val="001E0955"/>
    <w:rsid w:val="001E6E8C"/>
    <w:rsid w:val="001F6E22"/>
    <w:rsid w:val="0021185C"/>
    <w:rsid w:val="002155EB"/>
    <w:rsid w:val="00215E1A"/>
    <w:rsid w:val="0025563B"/>
    <w:rsid w:val="0028587F"/>
    <w:rsid w:val="00287B0E"/>
    <w:rsid w:val="002902B6"/>
    <w:rsid w:val="002C53BA"/>
    <w:rsid w:val="00316D71"/>
    <w:rsid w:val="003206AE"/>
    <w:rsid w:val="003447EA"/>
    <w:rsid w:val="003531EE"/>
    <w:rsid w:val="003C0905"/>
    <w:rsid w:val="003C09DF"/>
    <w:rsid w:val="003D47E4"/>
    <w:rsid w:val="003E5B53"/>
    <w:rsid w:val="00412503"/>
    <w:rsid w:val="004215F9"/>
    <w:rsid w:val="0045003E"/>
    <w:rsid w:val="004505CA"/>
    <w:rsid w:val="004F68DC"/>
    <w:rsid w:val="00530E4A"/>
    <w:rsid w:val="0054501D"/>
    <w:rsid w:val="005509BE"/>
    <w:rsid w:val="005674C4"/>
    <w:rsid w:val="005804B9"/>
    <w:rsid w:val="00594A62"/>
    <w:rsid w:val="005964F9"/>
    <w:rsid w:val="005A1707"/>
    <w:rsid w:val="005C67ED"/>
    <w:rsid w:val="005E115C"/>
    <w:rsid w:val="005F3FC1"/>
    <w:rsid w:val="006103E9"/>
    <w:rsid w:val="00654D10"/>
    <w:rsid w:val="006934D9"/>
    <w:rsid w:val="00707276"/>
    <w:rsid w:val="00763394"/>
    <w:rsid w:val="00784408"/>
    <w:rsid w:val="00787181"/>
    <w:rsid w:val="00792048"/>
    <w:rsid w:val="0084101F"/>
    <w:rsid w:val="00853660"/>
    <w:rsid w:val="00865DC7"/>
    <w:rsid w:val="00876BC6"/>
    <w:rsid w:val="008C42B4"/>
    <w:rsid w:val="008D0404"/>
    <w:rsid w:val="008D1F3A"/>
    <w:rsid w:val="008F66C9"/>
    <w:rsid w:val="00914910"/>
    <w:rsid w:val="00952E74"/>
    <w:rsid w:val="00991591"/>
    <w:rsid w:val="009B4E1A"/>
    <w:rsid w:val="009B5FCF"/>
    <w:rsid w:val="009C0952"/>
    <w:rsid w:val="009D21E0"/>
    <w:rsid w:val="00A0556B"/>
    <w:rsid w:val="00A136D4"/>
    <w:rsid w:val="00A2103B"/>
    <w:rsid w:val="00A23B63"/>
    <w:rsid w:val="00A25AEF"/>
    <w:rsid w:val="00A37DFD"/>
    <w:rsid w:val="00A568FC"/>
    <w:rsid w:val="00A73C03"/>
    <w:rsid w:val="00A90E3E"/>
    <w:rsid w:val="00AC3F0B"/>
    <w:rsid w:val="00AC6576"/>
    <w:rsid w:val="00AF78CE"/>
    <w:rsid w:val="00B0408A"/>
    <w:rsid w:val="00B147C4"/>
    <w:rsid w:val="00B36C25"/>
    <w:rsid w:val="00B60753"/>
    <w:rsid w:val="00B95EB2"/>
    <w:rsid w:val="00BE2443"/>
    <w:rsid w:val="00BE492E"/>
    <w:rsid w:val="00C01CF1"/>
    <w:rsid w:val="00C042F7"/>
    <w:rsid w:val="00C04B21"/>
    <w:rsid w:val="00C4487E"/>
    <w:rsid w:val="00C75C7F"/>
    <w:rsid w:val="00C76A89"/>
    <w:rsid w:val="00CB4B2E"/>
    <w:rsid w:val="00CE2D7F"/>
    <w:rsid w:val="00CE6917"/>
    <w:rsid w:val="00D23A5F"/>
    <w:rsid w:val="00D2686D"/>
    <w:rsid w:val="00D3411E"/>
    <w:rsid w:val="00D440C2"/>
    <w:rsid w:val="00D44C92"/>
    <w:rsid w:val="00D51BAD"/>
    <w:rsid w:val="00D8211F"/>
    <w:rsid w:val="00D90C2E"/>
    <w:rsid w:val="00DD510E"/>
    <w:rsid w:val="00E04400"/>
    <w:rsid w:val="00E30F44"/>
    <w:rsid w:val="00E30FFD"/>
    <w:rsid w:val="00E41D44"/>
    <w:rsid w:val="00E43991"/>
    <w:rsid w:val="00E56440"/>
    <w:rsid w:val="00EC52AB"/>
    <w:rsid w:val="00F2220E"/>
    <w:rsid w:val="00F75C77"/>
    <w:rsid w:val="00F82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6C9"/>
    <w:pPr>
      <w:spacing w:line="280" w:lineRule="exact"/>
    </w:pPr>
    <w:rPr>
      <w:rFonts w:ascii="Times New Roman" w:hAnsi="Times New Roman"/>
      <w:sz w:val="22"/>
    </w:rPr>
  </w:style>
  <w:style w:type="paragraph" w:styleId="Heading1">
    <w:name w:val="heading 1"/>
    <w:basedOn w:val="Normal"/>
    <w:next w:val="Normal"/>
    <w:qFormat/>
    <w:rsid w:val="008F66C9"/>
    <w:pPr>
      <w:keepNext/>
      <w:outlineLvl w:val="0"/>
    </w:pPr>
    <w:rPr>
      <w:kern w:val="8"/>
    </w:rPr>
  </w:style>
  <w:style w:type="paragraph" w:styleId="Heading2">
    <w:name w:val="heading 2"/>
    <w:basedOn w:val="Normal"/>
    <w:next w:val="Normal"/>
    <w:qFormat/>
    <w:rsid w:val="008F66C9"/>
    <w:pPr>
      <w:keepNext/>
      <w:outlineLvl w:val="1"/>
    </w:pPr>
    <w:rPr>
      <w:kern w:val="8"/>
    </w:rPr>
  </w:style>
  <w:style w:type="paragraph" w:styleId="Heading3">
    <w:name w:val="heading 3"/>
    <w:basedOn w:val="Normal"/>
    <w:next w:val="Normal"/>
    <w:qFormat/>
    <w:rsid w:val="008F66C9"/>
    <w:pPr>
      <w:keepNext/>
      <w:outlineLvl w:val="2"/>
    </w:pPr>
    <w:rPr>
      <w:rFonts w:ascii="Trebuchet MS" w:hAnsi="Trebuchet M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MemoHead">
    <w:name w:val="IEc Memo Head"/>
    <w:basedOn w:val="Heading1"/>
    <w:rsid w:val="008F66C9"/>
    <w:rPr>
      <w:rFonts w:ascii="Trebuchet MS" w:hAnsi="Trebuchet MS"/>
      <w:b/>
      <w:spacing w:val="20"/>
    </w:rPr>
  </w:style>
  <w:style w:type="character" w:styleId="PageNumber">
    <w:name w:val="page number"/>
    <w:basedOn w:val="DefaultParagraphFont"/>
    <w:rsid w:val="008F66C9"/>
  </w:style>
  <w:style w:type="paragraph" w:styleId="Header">
    <w:name w:val="header"/>
    <w:basedOn w:val="Normal"/>
    <w:rsid w:val="008F66C9"/>
    <w:pPr>
      <w:tabs>
        <w:tab w:val="center" w:pos="4320"/>
        <w:tab w:val="right" w:pos="8640"/>
      </w:tabs>
    </w:pPr>
  </w:style>
  <w:style w:type="paragraph" w:styleId="Footer">
    <w:name w:val="footer"/>
    <w:basedOn w:val="Normal"/>
    <w:link w:val="FooterChar"/>
    <w:uiPriority w:val="99"/>
    <w:rsid w:val="008F66C9"/>
    <w:pPr>
      <w:tabs>
        <w:tab w:val="center" w:pos="4320"/>
        <w:tab w:val="right" w:pos="8640"/>
      </w:tabs>
    </w:pPr>
    <w:rPr>
      <w:rFonts w:ascii="Trebuchet MS" w:hAnsi="Trebuchet MS"/>
      <w:sz w:val="16"/>
    </w:rPr>
  </w:style>
  <w:style w:type="paragraph" w:customStyle="1" w:styleId="IEcHeadingB">
    <w:name w:val="IEc Heading B"/>
    <w:basedOn w:val="Normal"/>
    <w:rsid w:val="008F66C9"/>
    <w:pPr>
      <w:spacing w:before="240"/>
    </w:pPr>
    <w:rPr>
      <w:rFonts w:ascii="Trebuchet MS" w:hAnsi="Trebuchet MS"/>
      <w:b/>
      <w:caps/>
      <w:noProof/>
      <w:color w:val="003366"/>
      <w:spacing w:val="20"/>
      <w:kern w:val="8"/>
      <w:sz w:val="17"/>
    </w:rPr>
  </w:style>
  <w:style w:type="paragraph" w:customStyle="1" w:styleId="IEcNormalText">
    <w:name w:val="IEc Normal Text"/>
    <w:basedOn w:val="Normal"/>
    <w:rsid w:val="008F66C9"/>
    <w:pPr>
      <w:spacing w:after="120"/>
    </w:pPr>
  </w:style>
  <w:style w:type="paragraph" w:customStyle="1" w:styleId="IEcExhibitTitle">
    <w:name w:val="IEc Exhibit Title"/>
    <w:basedOn w:val="Normal"/>
    <w:rsid w:val="008F66C9"/>
    <w:pPr>
      <w:spacing w:after="240" w:line="290" w:lineRule="exact"/>
    </w:pPr>
    <w:rPr>
      <w:rFonts w:ascii="Trebuchet MS" w:hAnsi="Trebuchet MS"/>
      <w:b/>
      <w:caps/>
      <w:noProof/>
      <w:color w:val="003366"/>
      <w:spacing w:val="20"/>
      <w:kern w:val="8"/>
      <w:sz w:val="17"/>
    </w:rPr>
  </w:style>
  <w:style w:type="paragraph" w:customStyle="1" w:styleId="IEcfootertext">
    <w:name w:val="IEc footer text"/>
    <w:basedOn w:val="Normal"/>
    <w:rsid w:val="008F66C9"/>
    <w:pPr>
      <w:spacing w:line="185" w:lineRule="exact"/>
    </w:pPr>
    <w:rPr>
      <w:rFonts w:ascii="Trebuchet MS" w:hAnsi="Trebuchet MS"/>
      <w:sz w:val="16"/>
    </w:rPr>
  </w:style>
  <w:style w:type="paragraph" w:customStyle="1" w:styleId="Default">
    <w:name w:val="Default"/>
    <w:rsid w:val="008F66C9"/>
    <w:pPr>
      <w:widowControl w:val="0"/>
      <w:autoSpaceDE w:val="0"/>
      <w:autoSpaceDN w:val="0"/>
      <w:adjustRightInd w:val="0"/>
    </w:pPr>
    <w:rPr>
      <w:rFonts w:ascii="GillSans" w:eastAsia="Times New Roman" w:hAnsi="GillSans"/>
    </w:rPr>
  </w:style>
  <w:style w:type="paragraph" w:customStyle="1" w:styleId="IEcHeadingC">
    <w:name w:val="IEc Heading C"/>
    <w:basedOn w:val="IEcHeadingB"/>
    <w:rsid w:val="008F66C9"/>
    <w:rPr>
      <w:b w:val="0"/>
      <w:caps w:val="0"/>
    </w:rPr>
  </w:style>
  <w:style w:type="paragraph" w:customStyle="1" w:styleId="Pa4">
    <w:name w:val="Pa4"/>
    <w:basedOn w:val="Default"/>
    <w:next w:val="Default"/>
    <w:rsid w:val="008F66C9"/>
    <w:pPr>
      <w:spacing w:line="241" w:lineRule="auto"/>
    </w:pPr>
    <w:rPr>
      <w:sz w:val="24"/>
    </w:rPr>
  </w:style>
  <w:style w:type="paragraph" w:customStyle="1" w:styleId="IEcHeadingAinreport">
    <w:name w:val="IEc Heading A in report"/>
    <w:basedOn w:val="Normal"/>
    <w:rsid w:val="008F66C9"/>
    <w:pPr>
      <w:spacing w:line="290" w:lineRule="exact"/>
    </w:pPr>
    <w:rPr>
      <w:rFonts w:ascii="Trebuchet MS" w:hAnsi="Trebuchet MS"/>
      <w:b/>
      <w:caps/>
      <w:noProof/>
      <w:color w:val="800000"/>
      <w:spacing w:val="20"/>
      <w:kern w:val="8"/>
      <w:sz w:val="17"/>
    </w:rPr>
  </w:style>
  <w:style w:type="paragraph" w:customStyle="1" w:styleId="IEcFootnoteText">
    <w:name w:val="IEc Footnote Text"/>
    <w:basedOn w:val="Normal"/>
    <w:rsid w:val="008F66C9"/>
    <w:pPr>
      <w:spacing w:line="220" w:lineRule="exact"/>
      <w:ind w:left="86" w:hanging="86"/>
    </w:pPr>
    <w:rPr>
      <w:rFonts w:ascii="Trebuchet MS" w:hAnsi="Trebuchet MS"/>
      <w:sz w:val="14"/>
    </w:rPr>
  </w:style>
  <w:style w:type="character" w:customStyle="1" w:styleId="IEcTextBold">
    <w:name w:val="IEc Text Bold"/>
    <w:basedOn w:val="DefaultParagraphFont"/>
    <w:rsid w:val="008F66C9"/>
    <w:rPr>
      <w:rFonts w:ascii="Times New Roman" w:hAnsi="Times New Roman"/>
      <w:b/>
      <w:dstrike w:val="0"/>
      <w:color w:val="auto"/>
      <w:sz w:val="21"/>
      <w:u w:val="none"/>
      <w:vertAlign w:val="baseline"/>
    </w:rPr>
  </w:style>
  <w:style w:type="paragraph" w:customStyle="1" w:styleId="IEcBulletText">
    <w:name w:val="IEc Bullet Text"/>
    <w:basedOn w:val="Normal"/>
    <w:rsid w:val="008F66C9"/>
    <w:pPr>
      <w:numPr>
        <w:numId w:val="1"/>
      </w:numPr>
      <w:tabs>
        <w:tab w:val="clear" w:pos="878"/>
        <w:tab w:val="num" w:pos="630"/>
      </w:tabs>
      <w:spacing w:after="120" w:line="290" w:lineRule="exact"/>
      <w:ind w:left="633" w:hanging="187"/>
    </w:pPr>
  </w:style>
  <w:style w:type="paragraph" w:customStyle="1" w:styleId="IEcPage">
    <w:name w:val="IEc Page #"/>
    <w:basedOn w:val="Normal"/>
    <w:rsid w:val="008F66C9"/>
    <w:pPr>
      <w:tabs>
        <w:tab w:val="left" w:pos="1440"/>
        <w:tab w:val="left" w:pos="2340"/>
        <w:tab w:val="right" w:pos="7834"/>
      </w:tabs>
      <w:spacing w:line="240" w:lineRule="exact"/>
      <w:ind w:left="43" w:right="101" w:hanging="2448"/>
    </w:pPr>
    <w:rPr>
      <w:rFonts w:ascii="Trebuchet MS" w:hAnsi="Trebuchet MS"/>
      <w:color w:val="800000"/>
      <w:sz w:val="17"/>
    </w:rPr>
  </w:style>
  <w:style w:type="paragraph" w:customStyle="1" w:styleId="IEcHeadingACallout">
    <w:name w:val="IEc Heading A Callout"/>
    <w:basedOn w:val="Normal"/>
    <w:rsid w:val="008F66C9"/>
    <w:pPr>
      <w:spacing w:line="290" w:lineRule="exact"/>
      <w:jc w:val="right"/>
    </w:pPr>
    <w:rPr>
      <w:rFonts w:ascii="Trebuchet MS" w:hAnsi="Trebuchet MS"/>
      <w:b/>
      <w:caps/>
      <w:noProof/>
      <w:color w:val="800000"/>
      <w:spacing w:val="20"/>
      <w:kern w:val="8"/>
      <w:sz w:val="17"/>
    </w:rPr>
  </w:style>
  <w:style w:type="paragraph" w:customStyle="1" w:styleId="IEcExhibitCallout">
    <w:name w:val="IEc Exhibit # Callout"/>
    <w:basedOn w:val="Normal"/>
    <w:rsid w:val="008F66C9"/>
    <w:pPr>
      <w:spacing w:line="290" w:lineRule="exact"/>
      <w:jc w:val="right"/>
    </w:pPr>
    <w:rPr>
      <w:rFonts w:ascii="Trebuchet MS" w:hAnsi="Trebuchet MS"/>
      <w:b/>
      <w:caps/>
      <w:color w:val="003366"/>
      <w:spacing w:val="20"/>
      <w:kern w:val="8"/>
      <w:sz w:val="17"/>
    </w:rPr>
  </w:style>
  <w:style w:type="paragraph" w:customStyle="1" w:styleId="IEcChartSubHead">
    <w:name w:val="IEc Chart SubHead"/>
    <w:basedOn w:val="Normal"/>
    <w:rsid w:val="008F66C9"/>
    <w:pPr>
      <w:spacing w:before="80" w:after="40" w:line="220" w:lineRule="exact"/>
    </w:pPr>
    <w:rPr>
      <w:rFonts w:ascii="Trebuchet MS" w:hAnsi="Trebuchet MS"/>
      <w:b/>
      <w:caps/>
      <w:sz w:val="15"/>
    </w:rPr>
  </w:style>
  <w:style w:type="paragraph" w:customStyle="1" w:styleId="IEcChartText">
    <w:name w:val="IEc Chart Text"/>
    <w:basedOn w:val="Normal"/>
    <w:rsid w:val="008F66C9"/>
    <w:pPr>
      <w:spacing w:before="20" w:after="20" w:line="240" w:lineRule="auto"/>
    </w:pPr>
    <w:rPr>
      <w:rFonts w:ascii="Trebuchet MS" w:hAnsi="Trebuchet MS"/>
      <w:sz w:val="18"/>
    </w:rPr>
  </w:style>
  <w:style w:type="paragraph" w:customStyle="1" w:styleId="IEcChartSubHeadGrey">
    <w:name w:val="IEc Chart SubHead Grey"/>
    <w:basedOn w:val="IEcChartSubHead"/>
    <w:rsid w:val="008F66C9"/>
    <w:rPr>
      <w:color w:val="808080"/>
    </w:rPr>
  </w:style>
  <w:style w:type="paragraph" w:customStyle="1" w:styleId="IEcChartHeading">
    <w:name w:val="IEc Chart Heading"/>
    <w:basedOn w:val="Normal"/>
    <w:rsid w:val="008F66C9"/>
    <w:pPr>
      <w:keepNext/>
      <w:spacing w:before="120" w:after="120" w:line="290" w:lineRule="exact"/>
      <w:outlineLvl w:val="0"/>
    </w:pPr>
    <w:rPr>
      <w:rFonts w:ascii="Trebuchet MS" w:hAnsi="Trebuchet MS"/>
      <w:b/>
      <w:caps/>
      <w:color w:val="003366"/>
      <w:sz w:val="17"/>
    </w:rPr>
  </w:style>
  <w:style w:type="paragraph" w:customStyle="1" w:styleId="IEcTextboxText">
    <w:name w:val="IEc Textbox Text"/>
    <w:basedOn w:val="Normal"/>
    <w:rsid w:val="008F66C9"/>
    <w:pPr>
      <w:spacing w:after="120" w:line="290" w:lineRule="exact"/>
      <w:ind w:left="792" w:right="346"/>
    </w:pPr>
    <w:rPr>
      <w:rFonts w:ascii="Trebuchet MS" w:hAnsi="Trebuchet MS"/>
      <w:sz w:val="20"/>
    </w:rPr>
  </w:style>
  <w:style w:type="paragraph" w:customStyle="1" w:styleId="IEcTextboxFooter">
    <w:name w:val="IEc Textbox Footer"/>
    <w:basedOn w:val="Normal"/>
    <w:rsid w:val="008F66C9"/>
    <w:pPr>
      <w:spacing w:after="120" w:line="220" w:lineRule="exact"/>
      <w:ind w:left="792" w:right="374"/>
    </w:pPr>
    <w:rPr>
      <w:rFonts w:ascii="Trebuchet MS" w:hAnsi="Trebuchet MS"/>
      <w:sz w:val="14"/>
    </w:rPr>
  </w:style>
  <w:style w:type="paragraph" w:customStyle="1" w:styleId="IECREFHead">
    <w:name w:val="IEC REF Head"/>
    <w:basedOn w:val="Normal"/>
    <w:rsid w:val="008F66C9"/>
    <w:pPr>
      <w:spacing w:before="240" w:after="600" w:line="320" w:lineRule="exact"/>
    </w:pPr>
    <w:rPr>
      <w:rFonts w:ascii="Trebuchet MS" w:hAnsi="Trebuchet MS"/>
      <w:b/>
      <w:caps/>
      <w:noProof/>
      <w:spacing w:val="20"/>
      <w:kern w:val="8"/>
    </w:rPr>
  </w:style>
  <w:style w:type="paragraph" w:customStyle="1" w:styleId="IEcRefText">
    <w:name w:val="IEc Ref Text"/>
    <w:basedOn w:val="IEcNormalText"/>
    <w:rsid w:val="008F66C9"/>
    <w:pPr>
      <w:spacing w:line="290" w:lineRule="exact"/>
      <w:ind w:left="432" w:hanging="432"/>
    </w:pPr>
  </w:style>
  <w:style w:type="paragraph" w:customStyle="1" w:styleId="IEcAlternativeHeadingB">
    <w:name w:val="IEc Alternative Heading B"/>
    <w:basedOn w:val="IEcHeadingB"/>
    <w:rsid w:val="00792048"/>
    <w:rPr>
      <w:bCs/>
      <w:caps w:val="0"/>
    </w:rPr>
  </w:style>
  <w:style w:type="paragraph" w:styleId="BalloonText">
    <w:name w:val="Balloon Text"/>
    <w:basedOn w:val="Normal"/>
    <w:link w:val="BalloonTextChar"/>
    <w:rsid w:val="005A17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1707"/>
    <w:rPr>
      <w:rFonts w:ascii="Tahoma" w:hAnsi="Tahoma" w:cs="Tahoma"/>
      <w:sz w:val="16"/>
      <w:szCs w:val="16"/>
    </w:rPr>
  </w:style>
  <w:style w:type="character" w:styleId="CommentReference">
    <w:name w:val="annotation reference"/>
    <w:basedOn w:val="DefaultParagraphFont"/>
    <w:rsid w:val="00316D71"/>
    <w:rPr>
      <w:sz w:val="16"/>
      <w:szCs w:val="16"/>
    </w:rPr>
  </w:style>
  <w:style w:type="paragraph" w:styleId="CommentText">
    <w:name w:val="annotation text"/>
    <w:basedOn w:val="Normal"/>
    <w:link w:val="CommentTextChar"/>
    <w:rsid w:val="00316D71"/>
    <w:pPr>
      <w:spacing w:line="240" w:lineRule="auto"/>
    </w:pPr>
    <w:rPr>
      <w:sz w:val="20"/>
    </w:rPr>
  </w:style>
  <w:style w:type="character" w:customStyle="1" w:styleId="CommentTextChar">
    <w:name w:val="Comment Text Char"/>
    <w:basedOn w:val="DefaultParagraphFont"/>
    <w:link w:val="CommentText"/>
    <w:rsid w:val="00316D71"/>
    <w:rPr>
      <w:rFonts w:ascii="Times New Roman" w:hAnsi="Times New Roman"/>
    </w:rPr>
  </w:style>
  <w:style w:type="paragraph" w:styleId="CommentSubject">
    <w:name w:val="annotation subject"/>
    <w:basedOn w:val="CommentText"/>
    <w:next w:val="CommentText"/>
    <w:link w:val="CommentSubjectChar"/>
    <w:rsid w:val="00316D71"/>
    <w:rPr>
      <w:b/>
      <w:bCs/>
    </w:rPr>
  </w:style>
  <w:style w:type="character" w:customStyle="1" w:styleId="CommentSubjectChar">
    <w:name w:val="Comment Subject Char"/>
    <w:basedOn w:val="CommentTextChar"/>
    <w:link w:val="CommentSubject"/>
    <w:rsid w:val="00316D71"/>
    <w:rPr>
      <w:rFonts w:ascii="Times New Roman" w:hAnsi="Times New Roman"/>
      <w:b/>
      <w:bCs/>
    </w:rPr>
  </w:style>
  <w:style w:type="paragraph" w:styleId="FootnoteText">
    <w:name w:val="footnote text"/>
    <w:basedOn w:val="Normal"/>
    <w:link w:val="FootnoteTextChar"/>
    <w:rsid w:val="00530E4A"/>
    <w:pPr>
      <w:spacing w:line="240" w:lineRule="auto"/>
    </w:pPr>
    <w:rPr>
      <w:sz w:val="20"/>
    </w:rPr>
  </w:style>
  <w:style w:type="character" w:customStyle="1" w:styleId="FootnoteTextChar">
    <w:name w:val="Footnote Text Char"/>
    <w:basedOn w:val="DefaultParagraphFont"/>
    <w:link w:val="FootnoteText"/>
    <w:rsid w:val="00530E4A"/>
    <w:rPr>
      <w:rFonts w:ascii="Times New Roman" w:hAnsi="Times New Roman"/>
    </w:rPr>
  </w:style>
  <w:style w:type="character" w:styleId="FootnoteReference">
    <w:name w:val="footnote reference"/>
    <w:basedOn w:val="DefaultParagraphFont"/>
    <w:rsid w:val="00530E4A"/>
    <w:rPr>
      <w:vertAlign w:val="superscript"/>
    </w:rPr>
  </w:style>
  <w:style w:type="character" w:styleId="Hyperlink">
    <w:name w:val="Hyperlink"/>
    <w:basedOn w:val="DefaultParagraphFont"/>
    <w:rsid w:val="002902B6"/>
    <w:rPr>
      <w:color w:val="0000FF" w:themeColor="hyperlink"/>
      <w:u w:val="single"/>
    </w:rPr>
  </w:style>
  <w:style w:type="character" w:customStyle="1" w:styleId="FooterChar">
    <w:name w:val="Footer Char"/>
    <w:basedOn w:val="DefaultParagraphFont"/>
    <w:link w:val="Footer"/>
    <w:uiPriority w:val="99"/>
    <w:rsid w:val="005804B9"/>
    <w:rPr>
      <w:rFonts w:ascii="Trebuchet MS" w:hAnsi="Trebuchet M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Times New Roman" w:hAnsi="Times New Roman"/>
      <w:sz w:val="22"/>
    </w:rPr>
  </w:style>
  <w:style w:type="paragraph" w:styleId="Heading1">
    <w:name w:val="heading 1"/>
    <w:basedOn w:val="Normal"/>
    <w:next w:val="Normal"/>
    <w:qFormat/>
    <w:pPr>
      <w:keepNext/>
      <w:outlineLvl w:val="0"/>
    </w:pPr>
    <w:rPr>
      <w:kern w:val="8"/>
    </w:rPr>
  </w:style>
  <w:style w:type="paragraph" w:styleId="Heading2">
    <w:name w:val="heading 2"/>
    <w:basedOn w:val="Normal"/>
    <w:next w:val="Normal"/>
    <w:qFormat/>
    <w:pPr>
      <w:keepNext/>
      <w:outlineLvl w:val="1"/>
    </w:pPr>
    <w:rPr>
      <w:kern w:val="8"/>
    </w:rPr>
  </w:style>
  <w:style w:type="paragraph" w:styleId="Heading3">
    <w:name w:val="heading 3"/>
    <w:basedOn w:val="Normal"/>
    <w:next w:val="Normal"/>
    <w:qFormat/>
    <w:pPr>
      <w:keepNext/>
      <w:outlineLvl w:val="2"/>
    </w:pPr>
    <w:rPr>
      <w:rFonts w:ascii="Trebuchet MS" w:hAnsi="Trebuchet M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MemoHead">
    <w:name w:val="IEc Memo Head"/>
    <w:basedOn w:val="Heading1"/>
    <w:rPr>
      <w:rFonts w:ascii="Trebuchet MS" w:hAnsi="Trebuchet MS"/>
      <w:b/>
      <w:spacing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Trebuchet MS" w:hAnsi="Trebuchet MS"/>
      <w:sz w:val="16"/>
    </w:rPr>
  </w:style>
  <w:style w:type="paragraph" w:customStyle="1" w:styleId="IEcHeadingB">
    <w:name w:val="IEc Heading B"/>
    <w:basedOn w:val="Normal"/>
    <w:pPr>
      <w:spacing w:before="240"/>
    </w:pPr>
    <w:rPr>
      <w:rFonts w:ascii="Trebuchet MS" w:hAnsi="Trebuchet MS"/>
      <w:b/>
      <w:caps/>
      <w:noProof/>
      <w:color w:val="003366"/>
      <w:spacing w:val="20"/>
      <w:kern w:val="8"/>
      <w:sz w:val="17"/>
    </w:rPr>
  </w:style>
  <w:style w:type="paragraph" w:customStyle="1" w:styleId="IEcNormalText">
    <w:name w:val="IEc Normal Text"/>
    <w:basedOn w:val="Normal"/>
    <w:pPr>
      <w:spacing w:after="120"/>
    </w:pPr>
  </w:style>
  <w:style w:type="paragraph" w:customStyle="1" w:styleId="IEcExhibitTitle">
    <w:name w:val="IEc Exhibit Title"/>
    <w:basedOn w:val="Normal"/>
    <w:pPr>
      <w:spacing w:after="240" w:line="290" w:lineRule="exact"/>
    </w:pPr>
    <w:rPr>
      <w:rFonts w:ascii="Trebuchet MS" w:hAnsi="Trebuchet MS"/>
      <w:b/>
      <w:caps/>
      <w:noProof/>
      <w:color w:val="003366"/>
      <w:spacing w:val="20"/>
      <w:kern w:val="8"/>
      <w:sz w:val="17"/>
    </w:rPr>
  </w:style>
  <w:style w:type="paragraph" w:customStyle="1" w:styleId="IEcfootertext">
    <w:name w:val="IEc footer text"/>
    <w:basedOn w:val="Normal"/>
    <w:pPr>
      <w:spacing w:line="185" w:lineRule="exact"/>
    </w:pPr>
    <w:rPr>
      <w:rFonts w:ascii="Trebuchet MS" w:hAnsi="Trebuchet MS"/>
      <w:sz w:val="16"/>
    </w:rPr>
  </w:style>
  <w:style w:type="paragraph" w:customStyle="1" w:styleId="Default">
    <w:name w:val="Default"/>
    <w:pPr>
      <w:widowControl w:val="0"/>
      <w:autoSpaceDE w:val="0"/>
      <w:autoSpaceDN w:val="0"/>
      <w:adjustRightInd w:val="0"/>
    </w:pPr>
    <w:rPr>
      <w:rFonts w:ascii="GillSans" w:eastAsia="Times New Roman" w:hAnsi="GillSans"/>
    </w:rPr>
  </w:style>
  <w:style w:type="paragraph" w:customStyle="1" w:styleId="IEcHeadingC">
    <w:name w:val="IEc Heading C"/>
    <w:basedOn w:val="IEcHeadingB"/>
    <w:rPr>
      <w:b w:val="0"/>
      <w:caps w:val="0"/>
    </w:rPr>
  </w:style>
  <w:style w:type="paragraph" w:customStyle="1" w:styleId="Pa4">
    <w:name w:val="Pa4"/>
    <w:basedOn w:val="Default"/>
    <w:next w:val="Default"/>
    <w:pPr>
      <w:spacing w:line="241" w:lineRule="auto"/>
    </w:pPr>
    <w:rPr>
      <w:sz w:val="24"/>
    </w:rPr>
  </w:style>
  <w:style w:type="paragraph" w:customStyle="1" w:styleId="IEcHeadingAinreport">
    <w:name w:val="IEc Heading A in report"/>
    <w:basedOn w:val="Normal"/>
    <w:pPr>
      <w:spacing w:line="290" w:lineRule="exact"/>
    </w:pPr>
    <w:rPr>
      <w:rFonts w:ascii="Trebuchet MS" w:hAnsi="Trebuchet MS"/>
      <w:b/>
      <w:caps/>
      <w:noProof/>
      <w:color w:val="800000"/>
      <w:spacing w:val="20"/>
      <w:kern w:val="8"/>
      <w:sz w:val="17"/>
    </w:rPr>
  </w:style>
  <w:style w:type="paragraph" w:customStyle="1" w:styleId="IEcFootnoteText">
    <w:name w:val="IEc Footnote Text"/>
    <w:basedOn w:val="Normal"/>
    <w:pPr>
      <w:spacing w:line="220" w:lineRule="exact"/>
      <w:ind w:left="86" w:hanging="86"/>
    </w:pPr>
    <w:rPr>
      <w:rFonts w:ascii="Trebuchet MS" w:hAnsi="Trebuchet MS"/>
      <w:sz w:val="14"/>
    </w:rPr>
  </w:style>
  <w:style w:type="character" w:customStyle="1" w:styleId="IEcTextBold">
    <w:name w:val="IEc Text Bold"/>
    <w:basedOn w:val="DefaultParagraphFont"/>
    <w:rPr>
      <w:rFonts w:ascii="Times New Roman" w:hAnsi="Times New Roman"/>
      <w:b/>
      <w:dstrike w:val="0"/>
      <w:color w:val="auto"/>
      <w:sz w:val="21"/>
      <w:u w:val="none"/>
      <w:vertAlign w:val="baseline"/>
    </w:rPr>
  </w:style>
  <w:style w:type="paragraph" w:customStyle="1" w:styleId="IEcBulletText">
    <w:name w:val="IEc Bullet Text"/>
    <w:basedOn w:val="Normal"/>
    <w:pPr>
      <w:numPr>
        <w:numId w:val="1"/>
      </w:numPr>
      <w:tabs>
        <w:tab w:val="clear" w:pos="878"/>
        <w:tab w:val="num" w:pos="630"/>
      </w:tabs>
      <w:spacing w:after="120" w:line="290" w:lineRule="exact"/>
      <w:ind w:left="633" w:hanging="187"/>
    </w:pPr>
  </w:style>
  <w:style w:type="paragraph" w:customStyle="1" w:styleId="IEcPage">
    <w:name w:val="IEc Page #"/>
    <w:basedOn w:val="Normal"/>
    <w:pPr>
      <w:tabs>
        <w:tab w:val="left" w:pos="1440"/>
        <w:tab w:val="left" w:pos="2340"/>
        <w:tab w:val="right" w:pos="7834"/>
      </w:tabs>
      <w:spacing w:line="240" w:lineRule="exact"/>
      <w:ind w:left="43" w:right="101" w:hanging="2448"/>
    </w:pPr>
    <w:rPr>
      <w:rFonts w:ascii="Trebuchet MS" w:hAnsi="Trebuchet MS"/>
      <w:color w:val="800000"/>
      <w:sz w:val="17"/>
    </w:rPr>
  </w:style>
  <w:style w:type="paragraph" w:customStyle="1" w:styleId="IEcHeadingACallout">
    <w:name w:val="IEc Heading A Callout"/>
    <w:basedOn w:val="Normal"/>
    <w:pPr>
      <w:spacing w:line="290" w:lineRule="exact"/>
      <w:jc w:val="right"/>
    </w:pPr>
    <w:rPr>
      <w:rFonts w:ascii="Trebuchet MS" w:hAnsi="Trebuchet MS"/>
      <w:b/>
      <w:caps/>
      <w:noProof/>
      <w:color w:val="800000"/>
      <w:spacing w:val="20"/>
      <w:kern w:val="8"/>
      <w:sz w:val="17"/>
    </w:rPr>
  </w:style>
  <w:style w:type="paragraph" w:customStyle="1" w:styleId="IEcExhibitCallout">
    <w:name w:val="IEc Exhibit # Callout"/>
    <w:basedOn w:val="Normal"/>
    <w:pPr>
      <w:spacing w:line="290" w:lineRule="exact"/>
      <w:jc w:val="right"/>
    </w:pPr>
    <w:rPr>
      <w:rFonts w:ascii="Trebuchet MS" w:hAnsi="Trebuchet MS"/>
      <w:b/>
      <w:caps/>
      <w:color w:val="003366"/>
      <w:spacing w:val="20"/>
      <w:kern w:val="8"/>
      <w:sz w:val="17"/>
    </w:rPr>
  </w:style>
  <w:style w:type="paragraph" w:customStyle="1" w:styleId="IEcChartSubHead">
    <w:name w:val="IEc Chart SubHead"/>
    <w:basedOn w:val="Normal"/>
    <w:pPr>
      <w:spacing w:before="80" w:after="40" w:line="220" w:lineRule="exact"/>
    </w:pPr>
    <w:rPr>
      <w:rFonts w:ascii="Trebuchet MS" w:hAnsi="Trebuchet MS"/>
      <w:b/>
      <w:caps/>
      <w:sz w:val="15"/>
    </w:rPr>
  </w:style>
  <w:style w:type="paragraph" w:customStyle="1" w:styleId="IEcChartText">
    <w:name w:val="IEc Chart Text"/>
    <w:basedOn w:val="Normal"/>
    <w:pPr>
      <w:spacing w:before="20" w:after="20" w:line="240" w:lineRule="auto"/>
    </w:pPr>
    <w:rPr>
      <w:rFonts w:ascii="Trebuchet MS" w:hAnsi="Trebuchet MS"/>
      <w:sz w:val="18"/>
    </w:rPr>
  </w:style>
  <w:style w:type="paragraph" w:customStyle="1" w:styleId="IEcChartSubHeadGrey">
    <w:name w:val="IEc Chart SubHead Grey"/>
    <w:basedOn w:val="IEcChartSubHead"/>
    <w:rPr>
      <w:color w:val="808080"/>
    </w:rPr>
  </w:style>
  <w:style w:type="paragraph" w:customStyle="1" w:styleId="IEcChartHeading">
    <w:name w:val="IEc Chart Heading"/>
    <w:basedOn w:val="Normal"/>
    <w:pPr>
      <w:keepNext/>
      <w:spacing w:before="120" w:after="120" w:line="290" w:lineRule="exact"/>
      <w:outlineLvl w:val="0"/>
    </w:pPr>
    <w:rPr>
      <w:rFonts w:ascii="Trebuchet MS" w:hAnsi="Trebuchet MS"/>
      <w:b/>
      <w:caps/>
      <w:color w:val="003366"/>
      <w:sz w:val="17"/>
    </w:rPr>
  </w:style>
  <w:style w:type="paragraph" w:customStyle="1" w:styleId="IEcTextboxText">
    <w:name w:val="IEc Textbox Text"/>
    <w:basedOn w:val="Normal"/>
    <w:pPr>
      <w:spacing w:after="120" w:line="290" w:lineRule="exact"/>
      <w:ind w:left="792" w:right="346"/>
    </w:pPr>
    <w:rPr>
      <w:rFonts w:ascii="Trebuchet MS" w:hAnsi="Trebuchet MS"/>
      <w:sz w:val="20"/>
    </w:rPr>
  </w:style>
  <w:style w:type="paragraph" w:customStyle="1" w:styleId="IEcTextboxFooter">
    <w:name w:val="IEc Textbox Footer"/>
    <w:basedOn w:val="Normal"/>
    <w:pPr>
      <w:spacing w:after="120" w:line="220" w:lineRule="exact"/>
      <w:ind w:left="792" w:right="374"/>
    </w:pPr>
    <w:rPr>
      <w:rFonts w:ascii="Trebuchet MS" w:hAnsi="Trebuchet MS"/>
      <w:sz w:val="14"/>
    </w:rPr>
  </w:style>
  <w:style w:type="paragraph" w:customStyle="1" w:styleId="IECREFHead">
    <w:name w:val="IEC REF Head"/>
    <w:basedOn w:val="Normal"/>
    <w:pPr>
      <w:spacing w:before="240" w:after="600" w:line="320" w:lineRule="exact"/>
    </w:pPr>
    <w:rPr>
      <w:rFonts w:ascii="Trebuchet MS" w:hAnsi="Trebuchet MS"/>
      <w:b/>
      <w:caps/>
      <w:noProof/>
      <w:spacing w:val="20"/>
      <w:kern w:val="8"/>
    </w:rPr>
  </w:style>
  <w:style w:type="paragraph" w:customStyle="1" w:styleId="IEcRefText">
    <w:name w:val="IEc Ref Text"/>
    <w:basedOn w:val="IEcNormalText"/>
    <w:pPr>
      <w:spacing w:line="290" w:lineRule="exact"/>
      <w:ind w:left="432" w:hanging="432"/>
    </w:pPr>
  </w:style>
  <w:style w:type="paragraph" w:customStyle="1" w:styleId="IEcAlternativeHeadingB">
    <w:name w:val="IEc Alternative Heading B"/>
    <w:basedOn w:val="IEcHeadingB"/>
    <w:rsid w:val="00792048"/>
    <w:rPr>
      <w:bCs/>
      <w:caps w:val="0"/>
    </w:rPr>
  </w:style>
  <w:style w:type="paragraph" w:styleId="BalloonText">
    <w:name w:val="Balloon Text"/>
    <w:basedOn w:val="Normal"/>
    <w:link w:val="BalloonTextChar"/>
    <w:rsid w:val="005A17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1707"/>
    <w:rPr>
      <w:rFonts w:ascii="Tahoma" w:hAnsi="Tahoma" w:cs="Tahoma"/>
      <w:sz w:val="16"/>
      <w:szCs w:val="16"/>
    </w:rPr>
  </w:style>
  <w:style w:type="character" w:styleId="CommentReference">
    <w:name w:val="annotation reference"/>
    <w:basedOn w:val="DefaultParagraphFont"/>
    <w:rsid w:val="00316D71"/>
    <w:rPr>
      <w:sz w:val="16"/>
      <w:szCs w:val="16"/>
    </w:rPr>
  </w:style>
  <w:style w:type="paragraph" w:styleId="CommentText">
    <w:name w:val="annotation text"/>
    <w:basedOn w:val="Normal"/>
    <w:link w:val="CommentTextChar"/>
    <w:rsid w:val="00316D71"/>
    <w:pPr>
      <w:spacing w:line="240" w:lineRule="auto"/>
    </w:pPr>
    <w:rPr>
      <w:sz w:val="20"/>
    </w:rPr>
  </w:style>
  <w:style w:type="character" w:customStyle="1" w:styleId="CommentTextChar">
    <w:name w:val="Comment Text Char"/>
    <w:basedOn w:val="DefaultParagraphFont"/>
    <w:link w:val="CommentText"/>
    <w:rsid w:val="00316D71"/>
    <w:rPr>
      <w:rFonts w:ascii="Times New Roman" w:hAnsi="Times New Roman"/>
    </w:rPr>
  </w:style>
  <w:style w:type="paragraph" w:styleId="CommentSubject">
    <w:name w:val="annotation subject"/>
    <w:basedOn w:val="CommentText"/>
    <w:next w:val="CommentText"/>
    <w:link w:val="CommentSubjectChar"/>
    <w:rsid w:val="00316D71"/>
    <w:rPr>
      <w:b/>
      <w:bCs/>
    </w:rPr>
  </w:style>
  <w:style w:type="character" w:customStyle="1" w:styleId="CommentSubjectChar">
    <w:name w:val="Comment Subject Char"/>
    <w:basedOn w:val="CommentTextChar"/>
    <w:link w:val="CommentSubject"/>
    <w:rsid w:val="00316D71"/>
    <w:rPr>
      <w:rFonts w:ascii="Times New Roman" w:hAnsi="Times New Roman"/>
      <w:b/>
      <w:bCs/>
    </w:rPr>
  </w:style>
  <w:style w:type="paragraph" w:styleId="FootnoteText">
    <w:name w:val="footnote text"/>
    <w:basedOn w:val="Normal"/>
    <w:link w:val="FootnoteTextChar"/>
    <w:rsid w:val="00530E4A"/>
    <w:pPr>
      <w:spacing w:line="240" w:lineRule="auto"/>
    </w:pPr>
    <w:rPr>
      <w:sz w:val="20"/>
    </w:rPr>
  </w:style>
  <w:style w:type="character" w:customStyle="1" w:styleId="FootnoteTextChar">
    <w:name w:val="Footnote Text Char"/>
    <w:basedOn w:val="DefaultParagraphFont"/>
    <w:link w:val="FootnoteText"/>
    <w:rsid w:val="00530E4A"/>
    <w:rPr>
      <w:rFonts w:ascii="Times New Roman" w:hAnsi="Times New Roman"/>
    </w:rPr>
  </w:style>
  <w:style w:type="character" w:styleId="FootnoteReference">
    <w:name w:val="footnote reference"/>
    <w:basedOn w:val="DefaultParagraphFont"/>
    <w:rsid w:val="00530E4A"/>
    <w:rPr>
      <w:vertAlign w:val="superscript"/>
    </w:rPr>
  </w:style>
  <w:style w:type="character" w:styleId="Hyperlink">
    <w:name w:val="Hyperlink"/>
    <w:basedOn w:val="DefaultParagraphFont"/>
    <w:rsid w:val="002902B6"/>
    <w:rPr>
      <w:color w:val="0000FF" w:themeColor="hyperlink"/>
      <w:u w:val="single"/>
    </w:rPr>
  </w:style>
  <w:style w:type="character" w:customStyle="1" w:styleId="FooterChar">
    <w:name w:val="Footer Char"/>
    <w:basedOn w:val="DefaultParagraphFont"/>
    <w:link w:val="Footer"/>
    <w:uiPriority w:val="99"/>
    <w:rsid w:val="005804B9"/>
    <w:rPr>
      <w:rFonts w:ascii="Trebuchet MS" w:hAnsi="Trebuchet M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0958">
      <w:bodyDiv w:val="1"/>
      <w:marLeft w:val="0"/>
      <w:marRight w:val="0"/>
      <w:marTop w:val="0"/>
      <w:marBottom w:val="0"/>
      <w:divBdr>
        <w:top w:val="none" w:sz="0" w:space="0" w:color="auto"/>
        <w:left w:val="none" w:sz="0" w:space="0" w:color="auto"/>
        <w:bottom w:val="none" w:sz="0" w:space="0" w:color="auto"/>
        <w:right w:val="none" w:sz="0" w:space="0" w:color="auto"/>
      </w:divBdr>
    </w:div>
    <w:div w:id="910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735A618789945AFBEB63C132AE7AB" ma:contentTypeVersion="4" ma:contentTypeDescription="Create a new document." ma:contentTypeScope="" ma:versionID="e0ca7330751371c7e8617e4e04a9a5d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targetNamespace="http://schemas.microsoft.com/office/2006/metadata/properties" ma:root="true" ma:fieldsID="b08bb63936b84be2b946dee40a7d1290" ns1:_="" ns2:_="" ns3:_="" ns4:_="">
    <xsd:import namespace="http://schemas.microsoft.com/sharepoint/v3"/>
    <xsd:import namespace="4ffa91fb-a0ff-4ac5-b2db-65c790d184a4"/>
    <xsd:import namespace="http://schemas.microsoft.com/sharepoint.v3"/>
    <xsd:import namespace="http://schemas.microsoft.com/sharepoint/v3/fields"/>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2015-02-24T21:09:10+00:00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AEEDFF33-E01E-47CC-AF67-FFC9E869FF47}"/>
</file>

<file path=customXml/itemProps2.xml><?xml version="1.0" encoding="utf-8"?>
<ds:datastoreItem xmlns:ds="http://schemas.openxmlformats.org/officeDocument/2006/customXml" ds:itemID="{19458829-BF90-4E5F-9FBE-A88F8AF2AC37}"/>
</file>

<file path=customXml/itemProps3.xml><?xml version="1.0" encoding="utf-8"?>
<ds:datastoreItem xmlns:ds="http://schemas.openxmlformats.org/officeDocument/2006/customXml" ds:itemID="{9A499D20-3898-45B4-8748-2B61B32B0593}"/>
</file>

<file path=customXml/itemProps4.xml><?xml version="1.0" encoding="utf-8"?>
<ds:datastoreItem xmlns:ds="http://schemas.openxmlformats.org/officeDocument/2006/customXml" ds:itemID="{18BEEF84-244F-490B-8691-60F24711A827}"/>
</file>

<file path=customXml/itemProps5.xml><?xml version="1.0" encoding="utf-8"?>
<ds:datastoreItem xmlns:ds="http://schemas.openxmlformats.org/officeDocument/2006/customXml" ds:itemID="{517BCE8D-6F4A-4541-964E-88D2F175040E}"/>
</file>

<file path=docProps/app.xml><?xml version="1.0" encoding="utf-8"?>
<Properties xmlns="http://schemas.openxmlformats.org/officeDocument/2006/extended-properties" xmlns:vt="http://schemas.openxmlformats.org/officeDocument/2006/docPropsVTypes">
  <Template>IEC Memo</Template>
  <TotalTime>21</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16 April 2004</vt:lpstr>
    </vt:vector>
  </TitlesOfParts>
  <Company>allison associates</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April 2004</dc:title>
  <dc:creator>Nick Pittman</dc:creator>
  <cp:lastModifiedBy>Neal Etre</cp:lastModifiedBy>
  <cp:revision>6</cp:revision>
  <cp:lastPrinted>2005-10-18T18:06:00Z</cp:lastPrinted>
  <dcterms:created xsi:type="dcterms:W3CDTF">2014-07-23T02:55:00Z</dcterms:created>
  <dcterms:modified xsi:type="dcterms:W3CDTF">2014-07-23T03:24:00Z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0x010100317735A618789945AFBEB63C132AE7AB</vt:lpwstr>
  </property>
</Properties>
</file>