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CB" w:rsidRDefault="00F70BCB" w:rsidP="00FA2113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93421B">
        <w:rPr>
          <w:rFonts w:eastAsia="Times New Roman" w:cstheme="minorHAnsi"/>
          <w:b/>
          <w:color w:val="000000"/>
          <w:sz w:val="28"/>
          <w:szCs w:val="28"/>
        </w:rPr>
        <w:t xml:space="preserve">Summary of the 2012 </w:t>
      </w:r>
      <w:r w:rsidR="00826D44" w:rsidRPr="0093421B">
        <w:rPr>
          <w:rFonts w:eastAsia="Times New Roman" w:cstheme="minorHAnsi"/>
          <w:b/>
          <w:color w:val="000000"/>
          <w:sz w:val="28"/>
          <w:szCs w:val="28"/>
        </w:rPr>
        <w:t>Environmental Evaluators</w:t>
      </w:r>
      <w:r w:rsidRPr="0093421B">
        <w:rPr>
          <w:rFonts w:eastAsia="Times New Roman" w:cstheme="minorHAnsi"/>
          <w:b/>
          <w:color w:val="000000"/>
          <w:sz w:val="28"/>
          <w:szCs w:val="28"/>
        </w:rPr>
        <w:t xml:space="preserve"> Network </w:t>
      </w:r>
      <w:proofErr w:type="spellStart"/>
      <w:r w:rsidRPr="0093421B">
        <w:rPr>
          <w:rFonts w:eastAsia="Times New Roman" w:cstheme="minorHAnsi"/>
          <w:b/>
          <w:color w:val="000000"/>
          <w:sz w:val="28"/>
          <w:szCs w:val="28"/>
        </w:rPr>
        <w:t>Unconference</w:t>
      </w:r>
      <w:proofErr w:type="spellEnd"/>
    </w:p>
    <w:p w:rsidR="00FA2113" w:rsidRPr="0093421B" w:rsidRDefault="00FA2113" w:rsidP="0093421B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'Environmental Evaluation</w:t>
      </w:r>
      <w:r w:rsidR="009D44C3">
        <w:rPr>
          <w:rFonts w:eastAsia="Times New Roman" w:cstheme="minorHAnsi"/>
          <w:b/>
          <w:color w:val="000000"/>
          <w:sz w:val="28"/>
          <w:szCs w:val="28"/>
        </w:rPr>
        <w:t xml:space="preserve"> in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the Public Good'</w:t>
      </w:r>
    </w:p>
    <w:p w:rsidR="00F70BCB" w:rsidRPr="0093421B" w:rsidRDefault="00F70BCB" w:rsidP="00826D44">
      <w:pPr>
        <w:rPr>
          <w:rFonts w:eastAsia="Times New Roman" w:cstheme="minorHAnsi"/>
          <w:color w:val="000000"/>
          <w:sz w:val="24"/>
          <w:szCs w:val="24"/>
        </w:rPr>
      </w:pPr>
    </w:p>
    <w:p w:rsidR="00F70BCB" w:rsidRPr="00141021" w:rsidRDefault="00F70BCB">
      <w:pPr>
        <w:rPr>
          <w:rFonts w:cstheme="minorHAnsi"/>
          <w:i/>
          <w:sz w:val="24"/>
          <w:szCs w:val="24"/>
        </w:rPr>
      </w:pPr>
      <w:r w:rsidRPr="00141021">
        <w:rPr>
          <w:rFonts w:cstheme="minorHAnsi"/>
          <w:i/>
          <w:sz w:val="24"/>
          <w:szCs w:val="24"/>
        </w:rPr>
        <w:t>Background</w:t>
      </w:r>
      <w:r w:rsidR="00141021" w:rsidRPr="00141021">
        <w:rPr>
          <w:rFonts w:cstheme="minorHAnsi"/>
          <w:i/>
          <w:sz w:val="24"/>
          <w:szCs w:val="24"/>
        </w:rPr>
        <w:t xml:space="preserve"> </w:t>
      </w:r>
    </w:p>
    <w:p w:rsidR="00F70BCB" w:rsidRDefault="00F70BCB">
      <w:pPr>
        <w:rPr>
          <w:rFonts w:cstheme="minorHAnsi"/>
          <w:sz w:val="24"/>
          <w:szCs w:val="24"/>
        </w:rPr>
      </w:pPr>
    </w:p>
    <w:p w:rsidR="00DC6EFA" w:rsidRPr="00A12253" w:rsidRDefault="00A12253" w:rsidP="00DC6EFA">
      <w:pPr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</w:rPr>
        <w:t>The Environmental Evaluators</w:t>
      </w:r>
      <w:r w:rsidR="00141021">
        <w:rPr>
          <w:rFonts w:cstheme="minorHAnsi"/>
          <w:sz w:val="24"/>
          <w:szCs w:val="24"/>
        </w:rPr>
        <w:t xml:space="preserve"> Network </w:t>
      </w:r>
      <w:r w:rsidR="00C30D73">
        <w:rPr>
          <w:rFonts w:cstheme="minorHAnsi"/>
          <w:sz w:val="24"/>
          <w:szCs w:val="24"/>
        </w:rPr>
        <w:t>first annual forum</w:t>
      </w:r>
      <w:r w:rsidR="00141021">
        <w:rPr>
          <w:rFonts w:cstheme="minorHAnsi"/>
          <w:sz w:val="24"/>
          <w:szCs w:val="24"/>
        </w:rPr>
        <w:t xml:space="preserve"> </w:t>
      </w:r>
      <w:r w:rsidR="00C30D73">
        <w:rPr>
          <w:rFonts w:cstheme="minorHAnsi"/>
          <w:sz w:val="24"/>
          <w:szCs w:val="24"/>
        </w:rPr>
        <w:t xml:space="preserve">was in </w:t>
      </w:r>
      <w:r w:rsidR="00141021">
        <w:rPr>
          <w:rFonts w:cstheme="minorHAnsi"/>
          <w:sz w:val="24"/>
          <w:szCs w:val="24"/>
        </w:rPr>
        <w:t>200</w:t>
      </w:r>
      <w:r w:rsidR="00C30D73">
        <w:rPr>
          <w:rFonts w:cstheme="minorHAnsi"/>
          <w:sz w:val="24"/>
          <w:szCs w:val="24"/>
        </w:rPr>
        <w:t xml:space="preserve">6, with 90 participants. </w:t>
      </w:r>
      <w:r w:rsidR="00DC6EFA">
        <w:rPr>
          <w:rFonts w:cstheme="minorHAnsi"/>
          <w:sz w:val="24"/>
          <w:szCs w:val="24"/>
        </w:rPr>
        <w:t xml:space="preserve">The forum was spearheaded with major logistical and monetary support from the Environmental Protection Agency (EPA). Other major sponsors have included the National Oceanic and Atmospheric Administration (NOAA), </w:t>
      </w:r>
      <w:r w:rsidR="00203094">
        <w:rPr>
          <w:rFonts w:cstheme="minorHAnsi"/>
          <w:sz w:val="24"/>
          <w:szCs w:val="24"/>
        </w:rPr>
        <w:t xml:space="preserve">the National Fish and Wildlife Foundation (NFWF), </w:t>
      </w:r>
      <w:r>
        <w:rPr>
          <w:rFonts w:cstheme="minorHAnsi"/>
          <w:sz w:val="24"/>
          <w:szCs w:val="24"/>
        </w:rPr>
        <w:t xml:space="preserve">National Aeronautics and Space Administration (NASA), </w:t>
      </w:r>
      <w:r w:rsidR="00203094">
        <w:rPr>
          <w:rFonts w:cstheme="minorHAnsi"/>
          <w:sz w:val="24"/>
          <w:szCs w:val="24"/>
        </w:rPr>
        <w:t>George Washington University</w:t>
      </w:r>
      <w:r>
        <w:rPr>
          <w:rFonts w:cstheme="minorHAnsi"/>
          <w:sz w:val="24"/>
          <w:szCs w:val="24"/>
        </w:rPr>
        <w:t xml:space="preserve"> and </w:t>
      </w:r>
      <w:proofErr w:type="spellStart"/>
      <w:r w:rsidRPr="00A12253">
        <w:rPr>
          <w:rFonts w:cstheme="minorHAnsi"/>
          <w:sz w:val="24"/>
          <w:szCs w:val="24"/>
          <w:lang/>
        </w:rPr>
        <w:t>Katholieke</w:t>
      </w:r>
      <w:proofErr w:type="spellEnd"/>
      <w:r w:rsidRPr="00A12253">
        <w:rPr>
          <w:rFonts w:cstheme="minorHAnsi"/>
          <w:sz w:val="24"/>
          <w:szCs w:val="24"/>
          <w:lang/>
        </w:rPr>
        <w:t xml:space="preserve"> </w:t>
      </w:r>
      <w:proofErr w:type="spellStart"/>
      <w:r w:rsidRPr="00A12253">
        <w:rPr>
          <w:rFonts w:cstheme="minorHAnsi"/>
          <w:sz w:val="24"/>
          <w:szCs w:val="24"/>
          <w:lang/>
        </w:rPr>
        <w:t>Universiteit</w:t>
      </w:r>
      <w:proofErr w:type="spellEnd"/>
      <w:r>
        <w:rPr>
          <w:rFonts w:cstheme="minorHAnsi"/>
          <w:sz w:val="24"/>
          <w:szCs w:val="24"/>
          <w:lang/>
        </w:rPr>
        <w:t xml:space="preserve"> in</w:t>
      </w:r>
      <w:r w:rsidRPr="00A12253">
        <w:rPr>
          <w:rFonts w:cstheme="minorHAnsi"/>
          <w:sz w:val="24"/>
          <w:szCs w:val="24"/>
          <w:lang/>
        </w:rPr>
        <w:t xml:space="preserve"> Leuven</w:t>
      </w:r>
      <w:r>
        <w:rPr>
          <w:rFonts w:cstheme="minorHAnsi"/>
          <w:sz w:val="24"/>
          <w:szCs w:val="24"/>
        </w:rPr>
        <w:t>, Belgium.</w:t>
      </w:r>
      <w:r w:rsidR="00203094">
        <w:rPr>
          <w:rFonts w:cstheme="minorHAnsi"/>
          <w:sz w:val="24"/>
          <w:szCs w:val="24"/>
        </w:rPr>
        <w:t xml:space="preserve"> </w:t>
      </w:r>
      <w:r w:rsidR="00C30D73">
        <w:rPr>
          <w:rFonts w:cstheme="minorHAnsi"/>
          <w:sz w:val="24"/>
          <w:szCs w:val="24"/>
        </w:rPr>
        <w:t>The forum has grown gradually over time, attracting an increasing</w:t>
      </w:r>
      <w:r w:rsidR="00203094">
        <w:rPr>
          <w:rFonts w:cstheme="minorHAnsi"/>
          <w:sz w:val="24"/>
          <w:szCs w:val="24"/>
        </w:rPr>
        <w:t>ly</w:t>
      </w:r>
      <w:r w:rsidR="00C30D73">
        <w:rPr>
          <w:rFonts w:cstheme="minorHAnsi"/>
          <w:sz w:val="24"/>
          <w:szCs w:val="24"/>
        </w:rPr>
        <w:t xml:space="preserve"> diverse crowd of environmental program managers and evaluators from around the country and world</w:t>
      </w:r>
      <w:r>
        <w:rPr>
          <w:rFonts w:cstheme="minorHAnsi"/>
          <w:sz w:val="24"/>
          <w:szCs w:val="24"/>
        </w:rPr>
        <w:t>, with over 315</w:t>
      </w:r>
      <w:r w:rsidR="00DC6EFA">
        <w:rPr>
          <w:rFonts w:cstheme="minorHAnsi"/>
          <w:sz w:val="24"/>
          <w:szCs w:val="24"/>
        </w:rPr>
        <w:t xml:space="preserve"> participants in 2011. </w:t>
      </w:r>
      <w:r w:rsidR="00203094">
        <w:rPr>
          <w:rFonts w:cstheme="minorHAnsi"/>
          <w:sz w:val="24"/>
          <w:szCs w:val="24"/>
        </w:rPr>
        <w:t>There are EEN</w:t>
      </w:r>
      <w:r w:rsidR="00C50C5E">
        <w:rPr>
          <w:rFonts w:cstheme="minorHAnsi"/>
          <w:sz w:val="24"/>
          <w:szCs w:val="24"/>
        </w:rPr>
        <w:t xml:space="preserve"> regional groups</w:t>
      </w:r>
      <w:r w:rsidR="00203094">
        <w:rPr>
          <w:rFonts w:cstheme="minorHAnsi"/>
          <w:sz w:val="24"/>
          <w:szCs w:val="24"/>
        </w:rPr>
        <w:t xml:space="preserve"> in </w:t>
      </w:r>
      <w:r w:rsidR="00C50C5E">
        <w:rPr>
          <w:rFonts w:cstheme="minorHAnsi"/>
          <w:sz w:val="24"/>
          <w:szCs w:val="24"/>
        </w:rPr>
        <w:t xml:space="preserve">the </w:t>
      </w:r>
      <w:r w:rsidR="00203094">
        <w:rPr>
          <w:rFonts w:cstheme="minorHAnsi"/>
          <w:sz w:val="24"/>
          <w:szCs w:val="24"/>
        </w:rPr>
        <w:t xml:space="preserve">Canada, Europe, </w:t>
      </w:r>
      <w:r w:rsidR="00C50C5E">
        <w:rPr>
          <w:rFonts w:cstheme="minorHAnsi"/>
          <w:sz w:val="24"/>
          <w:szCs w:val="24"/>
        </w:rPr>
        <w:t>L</w:t>
      </w:r>
      <w:r w:rsidR="00203094">
        <w:rPr>
          <w:rFonts w:cstheme="minorHAnsi"/>
          <w:sz w:val="24"/>
          <w:szCs w:val="24"/>
        </w:rPr>
        <w:t xml:space="preserve">atin America, </w:t>
      </w:r>
      <w:r w:rsidR="00C50C5E">
        <w:rPr>
          <w:rFonts w:cstheme="minorHAnsi"/>
          <w:sz w:val="24"/>
          <w:szCs w:val="24"/>
        </w:rPr>
        <w:t>and the United States –</w:t>
      </w:r>
      <w:r w:rsidR="00203094">
        <w:rPr>
          <w:rFonts w:cstheme="minorHAnsi"/>
          <w:sz w:val="24"/>
          <w:szCs w:val="24"/>
        </w:rPr>
        <w:t xml:space="preserve">all of which host their own forums. Most recently, </w:t>
      </w:r>
      <w:r w:rsidR="00C50C5E">
        <w:rPr>
          <w:rFonts w:cstheme="minorHAnsi"/>
          <w:sz w:val="24"/>
          <w:szCs w:val="24"/>
        </w:rPr>
        <w:t xml:space="preserve">evaluators in </w:t>
      </w:r>
      <w:r w:rsidR="00203094">
        <w:rPr>
          <w:rFonts w:cstheme="minorHAnsi"/>
          <w:sz w:val="24"/>
          <w:szCs w:val="24"/>
        </w:rPr>
        <w:t>Madagascar</w:t>
      </w:r>
      <w:r w:rsidR="00C50C5E">
        <w:rPr>
          <w:rFonts w:cstheme="minorHAnsi"/>
          <w:sz w:val="24"/>
          <w:szCs w:val="24"/>
        </w:rPr>
        <w:t xml:space="preserve"> are starting a group.</w:t>
      </w:r>
    </w:p>
    <w:p w:rsidR="00141021" w:rsidRDefault="00141021">
      <w:pPr>
        <w:rPr>
          <w:rFonts w:cstheme="minorHAnsi"/>
          <w:sz w:val="24"/>
          <w:szCs w:val="24"/>
        </w:rPr>
      </w:pPr>
    </w:p>
    <w:p w:rsidR="00524306" w:rsidRPr="00524306" w:rsidRDefault="00203094" w:rsidP="005243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2012, d</w:t>
      </w:r>
      <w:r w:rsidR="00141021">
        <w:rPr>
          <w:rFonts w:cstheme="minorHAnsi"/>
          <w:sz w:val="24"/>
          <w:szCs w:val="24"/>
        </w:rPr>
        <w:t xml:space="preserve">ue </w:t>
      </w:r>
      <w:r>
        <w:rPr>
          <w:rFonts w:cstheme="minorHAnsi"/>
          <w:sz w:val="24"/>
          <w:szCs w:val="24"/>
        </w:rPr>
        <w:t xml:space="preserve">in part to EPA </w:t>
      </w:r>
      <w:r w:rsidR="00141021">
        <w:rPr>
          <w:rFonts w:cstheme="minorHAnsi"/>
          <w:sz w:val="24"/>
          <w:szCs w:val="24"/>
        </w:rPr>
        <w:t xml:space="preserve">budget </w:t>
      </w:r>
      <w:r>
        <w:rPr>
          <w:rFonts w:cstheme="minorHAnsi"/>
          <w:sz w:val="24"/>
          <w:szCs w:val="24"/>
        </w:rPr>
        <w:t xml:space="preserve">and time </w:t>
      </w:r>
      <w:r w:rsidR="00141021">
        <w:rPr>
          <w:rFonts w:cstheme="minorHAnsi"/>
          <w:sz w:val="24"/>
          <w:szCs w:val="24"/>
        </w:rPr>
        <w:t>constraints</w:t>
      </w:r>
      <w:r>
        <w:rPr>
          <w:rFonts w:cstheme="minorHAnsi"/>
          <w:sz w:val="24"/>
          <w:szCs w:val="24"/>
        </w:rPr>
        <w:t xml:space="preserve"> as well as a desire by top EEN organizers to </w:t>
      </w:r>
      <w:r w:rsidRPr="00524306">
        <w:rPr>
          <w:rFonts w:cstheme="minorHAnsi"/>
          <w:sz w:val="24"/>
          <w:szCs w:val="24"/>
        </w:rPr>
        <w:t>try a different format</w:t>
      </w:r>
      <w:r w:rsidR="00141021" w:rsidRPr="00524306">
        <w:rPr>
          <w:rFonts w:cstheme="minorHAnsi"/>
          <w:sz w:val="24"/>
          <w:szCs w:val="24"/>
        </w:rPr>
        <w:t xml:space="preserve">, </w:t>
      </w:r>
      <w:r w:rsidRPr="00524306">
        <w:rPr>
          <w:rFonts w:cstheme="minorHAnsi"/>
          <w:sz w:val="24"/>
          <w:szCs w:val="24"/>
        </w:rPr>
        <w:t>a</w:t>
      </w:r>
      <w:r w:rsidR="00B62567" w:rsidRPr="00524306">
        <w:rPr>
          <w:rFonts w:cstheme="minorHAnsi"/>
          <w:sz w:val="24"/>
          <w:szCs w:val="24"/>
        </w:rPr>
        <w:t xml:space="preserve"> core group of volunteers organiz</w:t>
      </w:r>
      <w:r w:rsidRPr="00524306">
        <w:rPr>
          <w:rFonts w:cstheme="minorHAnsi"/>
          <w:sz w:val="24"/>
          <w:szCs w:val="24"/>
        </w:rPr>
        <w:t xml:space="preserve">ed an </w:t>
      </w:r>
      <w:r w:rsidR="00FA2113" w:rsidRPr="00524306">
        <w:rPr>
          <w:rFonts w:cstheme="minorHAnsi"/>
          <w:sz w:val="24"/>
          <w:szCs w:val="24"/>
        </w:rPr>
        <w:t>'</w:t>
      </w:r>
      <w:proofErr w:type="spellStart"/>
      <w:r w:rsidR="00B62567" w:rsidRPr="00524306">
        <w:rPr>
          <w:rFonts w:cstheme="minorHAnsi"/>
          <w:sz w:val="24"/>
          <w:szCs w:val="24"/>
        </w:rPr>
        <w:t>unconference</w:t>
      </w:r>
      <w:proofErr w:type="spellEnd"/>
      <w:r w:rsidR="00FA2113" w:rsidRPr="00524306">
        <w:rPr>
          <w:rFonts w:cstheme="minorHAnsi"/>
          <w:sz w:val="24"/>
          <w:szCs w:val="24"/>
        </w:rPr>
        <w:t>'</w:t>
      </w:r>
      <w:r w:rsidR="00B62567" w:rsidRPr="00524306">
        <w:rPr>
          <w:rFonts w:cstheme="minorHAnsi"/>
          <w:sz w:val="24"/>
          <w:szCs w:val="24"/>
        </w:rPr>
        <w:t xml:space="preserve"> format. </w:t>
      </w:r>
      <w:proofErr w:type="spellStart"/>
      <w:r w:rsidR="00524306" w:rsidRPr="00524306">
        <w:rPr>
          <w:rFonts w:cstheme="minorHAnsi"/>
          <w:sz w:val="24"/>
          <w:szCs w:val="24"/>
        </w:rPr>
        <w:t>Unconferences</w:t>
      </w:r>
      <w:proofErr w:type="spellEnd"/>
      <w:r w:rsidR="00524306" w:rsidRPr="00524306">
        <w:rPr>
          <w:rFonts w:cstheme="minorHAnsi"/>
          <w:sz w:val="24"/>
          <w:szCs w:val="24"/>
        </w:rPr>
        <w:t xml:space="preserve"> do not have set agendas beforehand. Instead, the ‘open space’ technology is driven by these rules:</w:t>
      </w:r>
      <w:r w:rsidR="00524306">
        <w:rPr>
          <w:rFonts w:cstheme="minorHAnsi"/>
          <w:sz w:val="24"/>
          <w:szCs w:val="24"/>
        </w:rPr>
        <w:t xml:space="preserve"> (1) w</w:t>
      </w:r>
      <w:r w:rsidR="00524306" w:rsidRPr="00524306">
        <w:rPr>
          <w:rFonts w:cs="Arial"/>
          <w:iCs/>
          <w:color w:val="000000"/>
          <w:sz w:val="24"/>
          <w:szCs w:val="24"/>
        </w:rPr>
        <w:t>hoever comes are the right people</w:t>
      </w:r>
      <w:r w:rsidR="00524306">
        <w:rPr>
          <w:rFonts w:cs="Arial"/>
          <w:iCs/>
          <w:color w:val="000000"/>
          <w:sz w:val="24"/>
          <w:szCs w:val="24"/>
        </w:rPr>
        <w:t>; (2)</w:t>
      </w:r>
      <w:r w:rsidR="00524306">
        <w:rPr>
          <w:rFonts w:cstheme="minorHAnsi"/>
          <w:sz w:val="24"/>
          <w:szCs w:val="24"/>
        </w:rPr>
        <w:t xml:space="preserve"> w</w:t>
      </w:r>
      <w:r w:rsidR="00524306" w:rsidRPr="00524306">
        <w:rPr>
          <w:rFonts w:cs="Arial"/>
          <w:iCs/>
          <w:color w:val="000000"/>
          <w:sz w:val="24"/>
          <w:szCs w:val="24"/>
        </w:rPr>
        <w:t>henever it starts is the right time</w:t>
      </w:r>
      <w:r w:rsidR="00524306">
        <w:rPr>
          <w:rFonts w:cs="Arial"/>
          <w:iCs/>
          <w:color w:val="000000"/>
          <w:sz w:val="24"/>
          <w:szCs w:val="24"/>
        </w:rPr>
        <w:t>; (3) w</w:t>
      </w:r>
      <w:r w:rsidR="00524306" w:rsidRPr="00524306">
        <w:rPr>
          <w:rFonts w:cs="Arial"/>
          <w:iCs/>
          <w:color w:val="000000"/>
          <w:sz w:val="24"/>
          <w:szCs w:val="24"/>
        </w:rPr>
        <w:t>herever it happens is the right place</w:t>
      </w:r>
      <w:r w:rsidR="00524306">
        <w:rPr>
          <w:rFonts w:cs="Arial"/>
          <w:iCs/>
          <w:color w:val="000000"/>
          <w:sz w:val="24"/>
          <w:szCs w:val="24"/>
        </w:rPr>
        <w:t>; (4) w</w:t>
      </w:r>
      <w:r w:rsidR="00524306" w:rsidRPr="00524306">
        <w:rPr>
          <w:rFonts w:cs="Arial"/>
          <w:iCs/>
          <w:color w:val="000000"/>
          <w:sz w:val="24"/>
          <w:szCs w:val="24"/>
        </w:rPr>
        <w:t>hatever happens is the only thing that could have</w:t>
      </w:r>
      <w:r w:rsidR="00524306" w:rsidRPr="00524306">
        <w:rPr>
          <w:rFonts w:cs="Arial"/>
          <w:color w:val="000000"/>
          <w:sz w:val="24"/>
          <w:szCs w:val="24"/>
        </w:rPr>
        <w:t xml:space="preserve"> happened</w:t>
      </w:r>
      <w:r w:rsidR="00524306">
        <w:rPr>
          <w:rFonts w:cs="Arial"/>
          <w:color w:val="000000"/>
          <w:sz w:val="24"/>
          <w:szCs w:val="24"/>
        </w:rPr>
        <w:t>; and (5) w</w:t>
      </w:r>
      <w:r w:rsidR="00524306" w:rsidRPr="00524306">
        <w:rPr>
          <w:rFonts w:cs="Arial"/>
          <w:iCs/>
          <w:color w:val="000000"/>
          <w:sz w:val="24"/>
          <w:szCs w:val="24"/>
        </w:rPr>
        <w:t>hen it's over, it's over.</w:t>
      </w:r>
      <w:r w:rsidR="00524306" w:rsidRPr="00524306">
        <w:rPr>
          <w:rFonts w:cstheme="minorHAnsi"/>
          <w:sz w:val="24"/>
          <w:szCs w:val="24"/>
        </w:rPr>
        <w:t xml:space="preserve"> </w:t>
      </w:r>
    </w:p>
    <w:p w:rsidR="00524306" w:rsidRPr="00524306" w:rsidRDefault="00524306" w:rsidP="00524306">
      <w:pPr>
        <w:rPr>
          <w:rFonts w:cstheme="minorHAnsi"/>
          <w:sz w:val="24"/>
          <w:szCs w:val="24"/>
        </w:rPr>
      </w:pPr>
    </w:p>
    <w:p w:rsidR="00FA2113" w:rsidRPr="00524306" w:rsidRDefault="00B62567" w:rsidP="00524306">
      <w:pPr>
        <w:rPr>
          <w:rFonts w:cstheme="minorHAnsi"/>
          <w:sz w:val="24"/>
          <w:szCs w:val="24"/>
        </w:rPr>
      </w:pPr>
      <w:r w:rsidRPr="00524306">
        <w:rPr>
          <w:rFonts w:cstheme="minorHAnsi"/>
          <w:sz w:val="24"/>
          <w:szCs w:val="24"/>
        </w:rPr>
        <w:t xml:space="preserve">For the first time, </w:t>
      </w:r>
      <w:r w:rsidR="00FA2113" w:rsidRPr="00524306">
        <w:rPr>
          <w:rFonts w:cstheme="minorHAnsi"/>
          <w:sz w:val="24"/>
          <w:szCs w:val="24"/>
        </w:rPr>
        <w:t xml:space="preserve">the American Evaluation Association </w:t>
      </w:r>
      <w:r w:rsidR="00346D19" w:rsidRPr="00524306">
        <w:rPr>
          <w:rFonts w:cstheme="minorHAnsi"/>
          <w:sz w:val="24"/>
          <w:szCs w:val="24"/>
        </w:rPr>
        <w:t xml:space="preserve">(AEA) </w:t>
      </w:r>
      <w:r w:rsidR="00FA2113" w:rsidRPr="00524306">
        <w:rPr>
          <w:rFonts w:cstheme="minorHAnsi"/>
          <w:sz w:val="24"/>
          <w:szCs w:val="24"/>
        </w:rPr>
        <w:t xml:space="preserve">was </w:t>
      </w:r>
      <w:r w:rsidR="00C30D73" w:rsidRPr="00524306">
        <w:rPr>
          <w:rFonts w:cstheme="minorHAnsi"/>
          <w:sz w:val="24"/>
          <w:szCs w:val="24"/>
        </w:rPr>
        <w:t>a</w:t>
      </w:r>
      <w:r w:rsidR="00FA2113" w:rsidRPr="00524306">
        <w:rPr>
          <w:rFonts w:cstheme="minorHAnsi"/>
          <w:sz w:val="24"/>
          <w:szCs w:val="24"/>
        </w:rPr>
        <w:t xml:space="preserve"> major sponsor, taking the lead in the event's logistics. AEA was willing to participate so extensively due to their interest in non-traditional formats for ex</w:t>
      </w:r>
      <w:r w:rsidR="002263FA" w:rsidRPr="00524306">
        <w:rPr>
          <w:rFonts w:cstheme="minorHAnsi"/>
          <w:sz w:val="24"/>
          <w:szCs w:val="24"/>
        </w:rPr>
        <w:t>plor</w:t>
      </w:r>
      <w:r w:rsidR="00FA2113" w:rsidRPr="00524306">
        <w:rPr>
          <w:rFonts w:cstheme="minorHAnsi"/>
          <w:sz w:val="24"/>
          <w:szCs w:val="24"/>
        </w:rPr>
        <w:t xml:space="preserve">ing </w:t>
      </w:r>
      <w:r w:rsidR="00346D19" w:rsidRPr="00524306">
        <w:rPr>
          <w:rFonts w:cstheme="minorHAnsi"/>
          <w:sz w:val="24"/>
          <w:szCs w:val="24"/>
        </w:rPr>
        <w:t>the theme, ‘Evaluation and the Public G</w:t>
      </w:r>
      <w:r w:rsidR="00FA2113" w:rsidRPr="00524306">
        <w:rPr>
          <w:rFonts w:cstheme="minorHAnsi"/>
          <w:sz w:val="24"/>
          <w:szCs w:val="24"/>
        </w:rPr>
        <w:t>ood.</w:t>
      </w:r>
      <w:r w:rsidR="00346D19" w:rsidRPr="00524306">
        <w:rPr>
          <w:rFonts w:cstheme="minorHAnsi"/>
          <w:sz w:val="24"/>
          <w:szCs w:val="24"/>
        </w:rPr>
        <w:t>’</w:t>
      </w:r>
      <w:r w:rsidR="00FA2113" w:rsidRPr="00524306">
        <w:rPr>
          <w:rFonts w:cstheme="minorHAnsi"/>
          <w:sz w:val="24"/>
          <w:szCs w:val="24"/>
        </w:rPr>
        <w:t xml:space="preserve"> </w:t>
      </w:r>
      <w:r w:rsidR="00346D19" w:rsidRPr="00524306">
        <w:rPr>
          <w:rFonts w:cstheme="minorHAnsi"/>
          <w:sz w:val="24"/>
          <w:szCs w:val="24"/>
        </w:rPr>
        <w:t xml:space="preserve">Other sponsors in 2012 included EPA, NOAA, NFWF, Industrial Economics, Inc., </w:t>
      </w:r>
      <w:r w:rsidR="00C50C5E">
        <w:rPr>
          <w:rFonts w:cstheme="minorHAnsi"/>
          <w:sz w:val="24"/>
          <w:szCs w:val="24"/>
        </w:rPr>
        <w:t xml:space="preserve">George Washington University </w:t>
      </w:r>
      <w:r w:rsidR="00346D19" w:rsidRPr="00524306">
        <w:rPr>
          <w:rFonts w:cstheme="minorHAnsi"/>
          <w:sz w:val="24"/>
          <w:szCs w:val="24"/>
        </w:rPr>
        <w:t>and Energy Markets, Inc.</w:t>
      </w:r>
    </w:p>
    <w:p w:rsidR="00FA2113" w:rsidRPr="00524306" w:rsidRDefault="00FA2113">
      <w:pPr>
        <w:rPr>
          <w:rFonts w:cstheme="minorHAnsi"/>
          <w:sz w:val="24"/>
          <w:szCs w:val="24"/>
        </w:rPr>
      </w:pPr>
    </w:p>
    <w:p w:rsidR="00C30D73" w:rsidRPr="00524306" w:rsidRDefault="005D6ED5" w:rsidP="00346D19">
      <w:pPr>
        <w:rPr>
          <w:rFonts w:cstheme="minorHAnsi"/>
          <w:sz w:val="24"/>
          <w:szCs w:val="24"/>
        </w:rPr>
      </w:pPr>
      <w:r w:rsidRPr="00524306">
        <w:rPr>
          <w:rFonts w:cstheme="minorHAnsi"/>
          <w:sz w:val="24"/>
          <w:szCs w:val="24"/>
        </w:rPr>
        <w:t>T</w:t>
      </w:r>
      <w:r w:rsidR="008275B0" w:rsidRPr="00524306">
        <w:rPr>
          <w:rFonts w:cstheme="minorHAnsi"/>
          <w:sz w:val="24"/>
          <w:szCs w:val="24"/>
        </w:rPr>
        <w:t xml:space="preserve">he </w:t>
      </w:r>
      <w:proofErr w:type="spellStart"/>
      <w:r w:rsidR="008275B0" w:rsidRPr="00524306">
        <w:rPr>
          <w:rFonts w:cstheme="minorHAnsi"/>
          <w:sz w:val="24"/>
          <w:szCs w:val="24"/>
        </w:rPr>
        <w:t>U</w:t>
      </w:r>
      <w:r w:rsidRPr="00524306">
        <w:rPr>
          <w:rFonts w:cstheme="minorHAnsi"/>
          <w:sz w:val="24"/>
          <w:szCs w:val="24"/>
        </w:rPr>
        <w:t>nconference</w:t>
      </w:r>
      <w:proofErr w:type="spellEnd"/>
      <w:r w:rsidRPr="00524306">
        <w:rPr>
          <w:rFonts w:cstheme="minorHAnsi"/>
          <w:sz w:val="24"/>
          <w:szCs w:val="24"/>
        </w:rPr>
        <w:t xml:space="preserve"> took place at American University on July 18</w:t>
      </w:r>
      <w:r w:rsidRPr="00524306">
        <w:rPr>
          <w:rFonts w:cstheme="minorHAnsi"/>
          <w:sz w:val="24"/>
          <w:szCs w:val="24"/>
          <w:vertAlign w:val="superscript"/>
        </w:rPr>
        <w:t xml:space="preserve">th </w:t>
      </w:r>
      <w:r w:rsidRPr="00524306">
        <w:rPr>
          <w:rFonts w:cstheme="minorHAnsi"/>
          <w:sz w:val="24"/>
          <w:szCs w:val="24"/>
        </w:rPr>
        <w:t>and 19</w:t>
      </w:r>
      <w:r w:rsidRPr="00524306">
        <w:rPr>
          <w:rFonts w:cstheme="minorHAnsi"/>
          <w:sz w:val="24"/>
          <w:szCs w:val="24"/>
          <w:vertAlign w:val="superscript"/>
        </w:rPr>
        <w:t>th</w:t>
      </w:r>
      <w:r w:rsidRPr="00524306">
        <w:rPr>
          <w:rFonts w:cstheme="minorHAnsi"/>
          <w:sz w:val="24"/>
          <w:szCs w:val="24"/>
        </w:rPr>
        <w:t xml:space="preserve">, 2012. </w:t>
      </w:r>
      <w:r w:rsidR="009D44C3" w:rsidRPr="00524306">
        <w:rPr>
          <w:rFonts w:cstheme="minorHAnsi"/>
          <w:sz w:val="24"/>
          <w:szCs w:val="24"/>
        </w:rPr>
        <w:t>A</w:t>
      </w:r>
      <w:r w:rsidR="00346D19" w:rsidRPr="00524306">
        <w:rPr>
          <w:rFonts w:cstheme="minorHAnsi"/>
          <w:sz w:val="24"/>
          <w:szCs w:val="24"/>
        </w:rPr>
        <w:t xml:space="preserve"> total of</w:t>
      </w:r>
      <w:r w:rsidR="009D44C3" w:rsidRPr="00524306">
        <w:rPr>
          <w:rFonts w:cstheme="minorHAnsi"/>
          <w:sz w:val="24"/>
          <w:szCs w:val="24"/>
        </w:rPr>
        <w:t>160</w:t>
      </w:r>
      <w:r w:rsidR="00FA2113" w:rsidRPr="00524306">
        <w:rPr>
          <w:rFonts w:cstheme="minorHAnsi"/>
          <w:sz w:val="24"/>
          <w:szCs w:val="24"/>
        </w:rPr>
        <w:t xml:space="preserve"> people registered for the </w:t>
      </w:r>
      <w:proofErr w:type="spellStart"/>
      <w:r w:rsidR="008275B0" w:rsidRPr="00524306">
        <w:rPr>
          <w:rFonts w:cstheme="minorHAnsi"/>
          <w:sz w:val="24"/>
          <w:szCs w:val="24"/>
        </w:rPr>
        <w:t>U</w:t>
      </w:r>
      <w:r w:rsidR="00FA2113" w:rsidRPr="00524306">
        <w:rPr>
          <w:rFonts w:cstheme="minorHAnsi"/>
          <w:sz w:val="24"/>
          <w:szCs w:val="24"/>
        </w:rPr>
        <w:t>nconference</w:t>
      </w:r>
      <w:proofErr w:type="spellEnd"/>
      <w:r w:rsidR="00FA2113" w:rsidRPr="00524306">
        <w:rPr>
          <w:rFonts w:cstheme="minorHAnsi"/>
          <w:sz w:val="24"/>
          <w:szCs w:val="24"/>
        </w:rPr>
        <w:t xml:space="preserve">, most representing </w:t>
      </w:r>
      <w:r w:rsidR="00FC5676" w:rsidRPr="00524306">
        <w:rPr>
          <w:rFonts w:cstheme="minorHAnsi"/>
          <w:sz w:val="24"/>
          <w:szCs w:val="24"/>
        </w:rPr>
        <w:t>U.S. federal and state government agencies (</w:t>
      </w:r>
      <w:r w:rsidRPr="00524306">
        <w:rPr>
          <w:rFonts w:cstheme="minorHAnsi"/>
          <w:sz w:val="24"/>
          <w:szCs w:val="24"/>
        </w:rPr>
        <w:t xml:space="preserve"> e.g. </w:t>
      </w:r>
      <w:r w:rsidR="00FC5676" w:rsidRPr="00524306">
        <w:rPr>
          <w:rFonts w:cstheme="minorHAnsi"/>
          <w:sz w:val="24"/>
          <w:szCs w:val="24"/>
        </w:rPr>
        <w:t>EPA, NOAA, U.S. Fish and Wildlife Service)</w:t>
      </w:r>
      <w:r w:rsidR="00FA2113" w:rsidRPr="00524306">
        <w:rPr>
          <w:rFonts w:cstheme="minorHAnsi"/>
          <w:sz w:val="24"/>
          <w:szCs w:val="24"/>
        </w:rPr>
        <w:t>,</w:t>
      </w:r>
      <w:r w:rsidR="00FC5676" w:rsidRPr="00524306">
        <w:rPr>
          <w:rFonts w:cstheme="minorHAnsi"/>
          <w:sz w:val="24"/>
          <w:szCs w:val="24"/>
        </w:rPr>
        <w:t xml:space="preserve"> evaluation firms with environmental interests (</w:t>
      </w:r>
      <w:r w:rsidRPr="00524306">
        <w:rPr>
          <w:rFonts w:cstheme="minorHAnsi"/>
          <w:sz w:val="24"/>
          <w:szCs w:val="24"/>
        </w:rPr>
        <w:t xml:space="preserve">e.g. </w:t>
      </w:r>
      <w:r w:rsidR="00FC5676" w:rsidRPr="00524306">
        <w:rPr>
          <w:rFonts w:cstheme="minorHAnsi"/>
          <w:sz w:val="24"/>
          <w:szCs w:val="24"/>
        </w:rPr>
        <w:t>Industrial Economics Inc</w:t>
      </w:r>
      <w:r w:rsidRPr="00524306">
        <w:rPr>
          <w:rFonts w:cstheme="minorHAnsi"/>
          <w:sz w:val="24"/>
          <w:szCs w:val="24"/>
        </w:rPr>
        <w:t xml:space="preserve">.), university faculty, </w:t>
      </w:r>
      <w:r w:rsidR="00FC5676" w:rsidRPr="00524306">
        <w:rPr>
          <w:rFonts w:cstheme="minorHAnsi"/>
          <w:sz w:val="24"/>
          <w:szCs w:val="24"/>
        </w:rPr>
        <w:t>environmental not-for-profit organizations (</w:t>
      </w:r>
      <w:r w:rsidR="002263FA" w:rsidRPr="00524306">
        <w:rPr>
          <w:rFonts w:cstheme="minorHAnsi"/>
          <w:sz w:val="24"/>
          <w:szCs w:val="24"/>
        </w:rPr>
        <w:t xml:space="preserve">e.g. </w:t>
      </w:r>
      <w:r w:rsidRPr="00524306">
        <w:rPr>
          <w:rFonts w:cstheme="minorHAnsi"/>
          <w:sz w:val="24"/>
          <w:szCs w:val="24"/>
        </w:rPr>
        <w:t>Defenders of Wildlife, Trees for the Future</w:t>
      </w:r>
      <w:r w:rsidR="00FC5676" w:rsidRPr="00524306">
        <w:rPr>
          <w:rFonts w:cstheme="minorHAnsi"/>
          <w:sz w:val="24"/>
          <w:szCs w:val="24"/>
        </w:rPr>
        <w:t xml:space="preserve">), </w:t>
      </w:r>
      <w:r w:rsidR="00346D19" w:rsidRPr="00524306">
        <w:rPr>
          <w:rFonts w:cstheme="minorHAnsi"/>
          <w:sz w:val="24"/>
          <w:szCs w:val="24"/>
        </w:rPr>
        <w:t xml:space="preserve">and </w:t>
      </w:r>
      <w:r w:rsidR="00FA2113" w:rsidRPr="00524306">
        <w:rPr>
          <w:rFonts w:cstheme="minorHAnsi"/>
          <w:sz w:val="24"/>
          <w:szCs w:val="24"/>
        </w:rPr>
        <w:t xml:space="preserve">private evaluation </w:t>
      </w:r>
      <w:r w:rsidRPr="00524306">
        <w:rPr>
          <w:rFonts w:cstheme="minorHAnsi"/>
          <w:sz w:val="24"/>
          <w:szCs w:val="24"/>
        </w:rPr>
        <w:t>con</w:t>
      </w:r>
      <w:r w:rsidR="00FA2113" w:rsidRPr="00524306">
        <w:rPr>
          <w:rFonts w:cstheme="minorHAnsi"/>
          <w:sz w:val="24"/>
          <w:szCs w:val="24"/>
        </w:rPr>
        <w:t>sulting businesses.</w:t>
      </w:r>
      <w:r w:rsidRPr="00524306">
        <w:rPr>
          <w:rFonts w:cstheme="minorHAnsi"/>
          <w:sz w:val="24"/>
          <w:szCs w:val="24"/>
        </w:rPr>
        <w:t xml:space="preserve"> </w:t>
      </w:r>
      <w:r w:rsidR="00061F15">
        <w:rPr>
          <w:rFonts w:cstheme="minorHAnsi"/>
          <w:sz w:val="24"/>
          <w:szCs w:val="24"/>
        </w:rPr>
        <w:t>Just over half of attendees had never attended an EEN forum before.</w:t>
      </w:r>
    </w:p>
    <w:p w:rsidR="00C30D73" w:rsidRPr="00524306" w:rsidRDefault="00C30D73">
      <w:pPr>
        <w:rPr>
          <w:rFonts w:cstheme="minorHAnsi"/>
          <w:sz w:val="24"/>
          <w:szCs w:val="24"/>
        </w:rPr>
      </w:pPr>
    </w:p>
    <w:p w:rsidR="00F70BCB" w:rsidRPr="00FC5676" w:rsidRDefault="0093421B">
      <w:pPr>
        <w:rPr>
          <w:rFonts w:cstheme="minorHAnsi"/>
          <w:i/>
          <w:sz w:val="24"/>
          <w:szCs w:val="24"/>
        </w:rPr>
      </w:pPr>
      <w:r w:rsidRPr="00FC5676">
        <w:rPr>
          <w:rFonts w:cstheme="minorHAnsi"/>
          <w:i/>
          <w:sz w:val="24"/>
          <w:szCs w:val="24"/>
        </w:rPr>
        <w:t>Activity b</w:t>
      </w:r>
      <w:r w:rsidR="00F70BCB" w:rsidRPr="00FC5676">
        <w:rPr>
          <w:rFonts w:cstheme="minorHAnsi"/>
          <w:i/>
          <w:sz w:val="24"/>
          <w:szCs w:val="24"/>
        </w:rPr>
        <w:t xml:space="preserve">efore the </w:t>
      </w:r>
      <w:proofErr w:type="spellStart"/>
      <w:r w:rsidR="00F70BCB" w:rsidRPr="00FC5676">
        <w:rPr>
          <w:rFonts w:cstheme="minorHAnsi"/>
          <w:i/>
          <w:sz w:val="24"/>
          <w:szCs w:val="24"/>
        </w:rPr>
        <w:t>Unconference</w:t>
      </w:r>
      <w:proofErr w:type="spellEnd"/>
    </w:p>
    <w:p w:rsidR="00C30D73" w:rsidRDefault="00C30D73" w:rsidP="00C30D73">
      <w:pPr>
        <w:rPr>
          <w:rFonts w:eastAsia="Times New Roman" w:cstheme="minorHAnsi"/>
          <w:i/>
          <w:color w:val="000000"/>
          <w:sz w:val="24"/>
          <w:szCs w:val="24"/>
        </w:rPr>
      </w:pPr>
    </w:p>
    <w:p w:rsidR="00346D19" w:rsidRDefault="009D44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Environmental evaluators were invited to use the EEN Moderator website to blog ideas for conference sessions. </w:t>
      </w:r>
      <w:r w:rsidR="00346D19">
        <w:rPr>
          <w:rFonts w:cstheme="minorHAnsi"/>
          <w:sz w:val="24"/>
          <w:szCs w:val="24"/>
        </w:rPr>
        <w:t>Many</w:t>
      </w:r>
      <w:r>
        <w:rPr>
          <w:rFonts w:cstheme="minorHAnsi"/>
          <w:sz w:val="24"/>
          <w:szCs w:val="24"/>
        </w:rPr>
        <w:t xml:space="preserve"> ideas </w:t>
      </w:r>
      <w:r w:rsidR="00346D19">
        <w:rPr>
          <w:rFonts w:cstheme="minorHAnsi"/>
          <w:sz w:val="24"/>
          <w:szCs w:val="24"/>
        </w:rPr>
        <w:t>were submitted, including</w:t>
      </w:r>
      <w:r>
        <w:rPr>
          <w:rFonts w:cstheme="minorHAnsi"/>
          <w:sz w:val="24"/>
          <w:szCs w:val="24"/>
        </w:rPr>
        <w:t xml:space="preserve"> principles of design, evaluating projects designed to help communities adapt to climate change, common measurement, and the future of evaluation and EEN</w:t>
      </w:r>
      <w:r w:rsidR="00346D19">
        <w:rPr>
          <w:rFonts w:cstheme="minorHAnsi"/>
          <w:sz w:val="24"/>
          <w:szCs w:val="24"/>
        </w:rPr>
        <w:t xml:space="preserve">, most of which became one or more </w:t>
      </w:r>
      <w:r w:rsidR="00262ACD" w:rsidRPr="002263FA">
        <w:rPr>
          <w:rFonts w:cstheme="minorHAnsi"/>
          <w:sz w:val="24"/>
          <w:szCs w:val="24"/>
        </w:rPr>
        <w:t xml:space="preserve">sessions at the </w:t>
      </w:r>
      <w:proofErr w:type="spellStart"/>
      <w:r w:rsidR="00346D19">
        <w:rPr>
          <w:rFonts w:cstheme="minorHAnsi"/>
          <w:sz w:val="24"/>
          <w:szCs w:val="24"/>
        </w:rPr>
        <w:t>U</w:t>
      </w:r>
      <w:r w:rsidR="00262ACD" w:rsidRPr="002263FA">
        <w:rPr>
          <w:rFonts w:cstheme="minorHAnsi"/>
          <w:sz w:val="24"/>
          <w:szCs w:val="24"/>
        </w:rPr>
        <w:t>nconference</w:t>
      </w:r>
      <w:proofErr w:type="spellEnd"/>
      <w:r w:rsidR="00262ACD" w:rsidRPr="002263FA">
        <w:rPr>
          <w:rFonts w:cstheme="minorHAnsi"/>
          <w:sz w:val="24"/>
          <w:szCs w:val="24"/>
        </w:rPr>
        <w:t>. The opportunity to think a</w:t>
      </w:r>
      <w:r w:rsidR="00346D19">
        <w:rPr>
          <w:rFonts w:cstheme="minorHAnsi"/>
          <w:sz w:val="24"/>
          <w:szCs w:val="24"/>
        </w:rPr>
        <w:t>nd talk a</w:t>
      </w:r>
      <w:r w:rsidR="00262ACD" w:rsidRPr="002263FA">
        <w:rPr>
          <w:rFonts w:cstheme="minorHAnsi"/>
          <w:sz w:val="24"/>
          <w:szCs w:val="24"/>
        </w:rPr>
        <w:t xml:space="preserve">bout sessions ahead of time allowed </w:t>
      </w:r>
      <w:r w:rsidR="00262ACD" w:rsidRPr="002263FA">
        <w:rPr>
          <w:rFonts w:cstheme="minorHAnsi"/>
          <w:sz w:val="24"/>
          <w:szCs w:val="24"/>
        </w:rPr>
        <w:lastRenderedPageBreak/>
        <w:t xml:space="preserve">individuals </w:t>
      </w:r>
      <w:r w:rsidR="00346D19">
        <w:rPr>
          <w:rFonts w:cstheme="minorHAnsi"/>
          <w:sz w:val="24"/>
          <w:szCs w:val="24"/>
        </w:rPr>
        <w:t xml:space="preserve">to come to the conference </w:t>
      </w:r>
      <w:r w:rsidR="00262ACD" w:rsidRPr="002263FA">
        <w:rPr>
          <w:rFonts w:cstheme="minorHAnsi"/>
          <w:sz w:val="24"/>
          <w:szCs w:val="24"/>
        </w:rPr>
        <w:t>prepared to discuss an issue, show an instrument, or present.</w:t>
      </w:r>
      <w:r w:rsidR="002263FA">
        <w:rPr>
          <w:rFonts w:cstheme="minorHAnsi"/>
          <w:sz w:val="24"/>
          <w:szCs w:val="24"/>
        </w:rPr>
        <w:t xml:space="preserve"> </w:t>
      </w:r>
    </w:p>
    <w:p w:rsidR="00346D19" w:rsidRDefault="00346D19">
      <w:pPr>
        <w:rPr>
          <w:rFonts w:cstheme="minorHAnsi"/>
          <w:i/>
          <w:sz w:val="24"/>
          <w:szCs w:val="24"/>
        </w:rPr>
      </w:pPr>
    </w:p>
    <w:p w:rsidR="00346D19" w:rsidRDefault="00346D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Like past EEN forums, attendees could attend </w:t>
      </w:r>
      <w:r w:rsidR="00716263">
        <w:rPr>
          <w:rFonts w:cstheme="minorHAnsi"/>
          <w:sz w:val="24"/>
          <w:szCs w:val="24"/>
        </w:rPr>
        <w:t xml:space="preserve">low cost </w:t>
      </w:r>
      <w:r>
        <w:rPr>
          <w:rFonts w:cstheme="minorHAnsi"/>
          <w:sz w:val="24"/>
          <w:szCs w:val="24"/>
        </w:rPr>
        <w:t xml:space="preserve">environmental evaluation training the </w:t>
      </w:r>
      <w:r w:rsidR="00716263">
        <w:rPr>
          <w:rFonts w:cstheme="minorHAnsi"/>
          <w:sz w:val="24"/>
          <w:szCs w:val="24"/>
        </w:rPr>
        <w:t>day prior to the conference</w:t>
      </w:r>
      <w:r>
        <w:rPr>
          <w:rFonts w:cstheme="minorHAnsi"/>
          <w:sz w:val="24"/>
          <w:szCs w:val="24"/>
        </w:rPr>
        <w:t xml:space="preserve">. </w:t>
      </w:r>
      <w:r w:rsidR="00716263">
        <w:rPr>
          <w:rFonts w:cstheme="minorHAnsi"/>
          <w:sz w:val="24"/>
          <w:szCs w:val="24"/>
        </w:rPr>
        <w:t>The three training s</w:t>
      </w:r>
      <w:r>
        <w:rPr>
          <w:rFonts w:cstheme="minorHAnsi"/>
          <w:sz w:val="24"/>
          <w:szCs w:val="24"/>
        </w:rPr>
        <w:t>essions offered in 2012 were Systems Thinking and Evaluation, Rapid Impact Evaluation, and Adaptive Management – Tools for Planning and Monitoring Conservation Projects.</w:t>
      </w:r>
    </w:p>
    <w:p w:rsidR="00346D19" w:rsidRPr="00346D19" w:rsidRDefault="00346D19">
      <w:pPr>
        <w:rPr>
          <w:rFonts w:cstheme="minorHAnsi"/>
          <w:sz w:val="24"/>
          <w:szCs w:val="24"/>
        </w:rPr>
      </w:pPr>
    </w:p>
    <w:p w:rsidR="00262ACD" w:rsidRPr="00262ACD" w:rsidRDefault="00262ACD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The </w:t>
      </w:r>
      <w:proofErr w:type="spellStart"/>
      <w:r>
        <w:rPr>
          <w:rFonts w:cstheme="minorHAnsi"/>
          <w:i/>
          <w:sz w:val="24"/>
          <w:szCs w:val="24"/>
        </w:rPr>
        <w:t>Unconference</w:t>
      </w:r>
      <w:proofErr w:type="spellEnd"/>
    </w:p>
    <w:p w:rsidR="00C45A3D" w:rsidRDefault="00C45A3D">
      <w:pPr>
        <w:rPr>
          <w:rFonts w:cstheme="minorHAnsi"/>
          <w:sz w:val="24"/>
          <w:szCs w:val="24"/>
        </w:rPr>
      </w:pPr>
    </w:p>
    <w:p w:rsidR="001B2A83" w:rsidRDefault="000A7E58" w:rsidP="00F544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716263">
        <w:rPr>
          <w:rFonts w:cstheme="minorHAnsi"/>
          <w:sz w:val="24"/>
          <w:szCs w:val="24"/>
        </w:rPr>
        <w:t xml:space="preserve">first day of the </w:t>
      </w:r>
      <w:proofErr w:type="spellStart"/>
      <w:r w:rsidR="00716263">
        <w:rPr>
          <w:rFonts w:cstheme="minorHAnsi"/>
          <w:sz w:val="24"/>
          <w:szCs w:val="24"/>
        </w:rPr>
        <w:t>Unconference</w:t>
      </w:r>
      <w:proofErr w:type="spellEnd"/>
      <w:r w:rsidR="007162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began with </w:t>
      </w:r>
      <w:r w:rsidR="00716263">
        <w:rPr>
          <w:rFonts w:cstheme="minorHAnsi"/>
          <w:sz w:val="24"/>
          <w:szCs w:val="24"/>
        </w:rPr>
        <w:t xml:space="preserve">introductions and the basic outline for the two days of the event, </w:t>
      </w:r>
      <w:r w:rsidR="00F54428">
        <w:rPr>
          <w:rFonts w:cstheme="minorHAnsi"/>
          <w:sz w:val="24"/>
          <w:szCs w:val="24"/>
        </w:rPr>
        <w:t xml:space="preserve">followed by attendees’ descriptions of ideas for sessions they wanted to lead. </w:t>
      </w:r>
      <w:r w:rsidR="00E572C5">
        <w:rPr>
          <w:rFonts w:cstheme="minorHAnsi"/>
          <w:sz w:val="24"/>
          <w:szCs w:val="24"/>
        </w:rPr>
        <w:t>Afterwards the sessions were scheduled on a matrix board, with columns representing room numbers and rows representing time slots.</w:t>
      </w:r>
    </w:p>
    <w:p w:rsidR="00E572C5" w:rsidRDefault="00E572C5" w:rsidP="00F54428">
      <w:pPr>
        <w:rPr>
          <w:rFonts w:cstheme="minorHAnsi"/>
          <w:sz w:val="24"/>
          <w:szCs w:val="24"/>
        </w:rPr>
      </w:pPr>
    </w:p>
    <w:p w:rsidR="00E572C5" w:rsidRDefault="00E572C5" w:rsidP="00F54428">
      <w:pPr>
        <w:rPr>
          <w:rFonts w:cstheme="minorHAnsi"/>
          <w:sz w:val="24"/>
          <w:szCs w:val="24"/>
        </w:rPr>
        <w:sectPr w:rsidR="00E572C5" w:rsidSect="00397AF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4428" w:rsidRDefault="001B2A83" w:rsidP="00F54428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24175" cy="2193131"/>
            <wp:effectExtent l="19050" t="0" r="0" b="0"/>
            <wp:docPr id="7" name="Picture 7" descr="http://farm8.static.flickr.com/7278/7684650020_e53366d5c7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rm8.static.flickr.com/7278/7684650020_e53366d5c7_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3" cy="219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AF3" w:rsidRDefault="00F54428" w:rsidP="00085C37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88628" cy="2194560"/>
            <wp:effectExtent l="19050" t="0" r="7022" b="0"/>
            <wp:docPr id="4" name="Picture 4" descr="http://farm9.staticflickr.com/8168/7684645706_9859aed90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rm9.staticflickr.com/8168/7684645706_9859aed905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28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83" w:rsidRDefault="001B2A83" w:rsidP="00085C37">
      <w:pPr>
        <w:rPr>
          <w:rFonts w:cstheme="minorHAnsi"/>
          <w:sz w:val="24"/>
          <w:szCs w:val="24"/>
        </w:rPr>
        <w:sectPr w:rsidR="001B2A83" w:rsidSect="001B2A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B2A83" w:rsidRDefault="001B2A83" w:rsidP="00085C37">
      <w:pPr>
        <w:rPr>
          <w:rFonts w:cstheme="minorHAnsi"/>
          <w:sz w:val="24"/>
          <w:szCs w:val="24"/>
        </w:rPr>
      </w:pPr>
    </w:p>
    <w:p w:rsidR="00E572C5" w:rsidRDefault="00C45A3D" w:rsidP="00085C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total of </w:t>
      </w:r>
      <w:r w:rsidR="00085C37">
        <w:rPr>
          <w:rFonts w:cstheme="minorHAnsi"/>
          <w:sz w:val="24"/>
          <w:szCs w:val="24"/>
        </w:rPr>
        <w:t>29</w:t>
      </w:r>
      <w:r>
        <w:rPr>
          <w:rFonts w:cstheme="minorHAnsi"/>
          <w:sz w:val="24"/>
          <w:szCs w:val="24"/>
        </w:rPr>
        <w:t xml:space="preserve"> sessions took place:</w:t>
      </w:r>
    </w:p>
    <w:p w:rsidR="00821088" w:rsidRPr="00085C37" w:rsidRDefault="008275B0" w:rsidP="00085C37">
      <w:pPr>
        <w:rPr>
          <w:rFonts w:cstheme="minorHAnsi"/>
          <w:sz w:val="24"/>
          <w:szCs w:val="24"/>
        </w:rPr>
      </w:pPr>
      <w:r w:rsidRPr="008275B0">
        <w:rPr>
          <w:rFonts w:cstheme="minorHAnsi"/>
          <w:sz w:val="24"/>
          <w:szCs w:val="24"/>
        </w:rPr>
        <w:t xml:space="preserve"> </w:t>
      </w:r>
    </w:p>
    <w:p w:rsidR="00085C37" w:rsidRDefault="00085C37" w:rsidP="00085C37">
      <w:pPr>
        <w:pStyle w:val="ListParagraph"/>
        <w:numPr>
          <w:ilvl w:val="0"/>
          <w:numId w:val="11"/>
        </w:numPr>
        <w:tabs>
          <w:tab w:val="left" w:pos="4469"/>
        </w:tabs>
        <w:sectPr w:rsidR="00085C37" w:rsidSect="001B2A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75B0" w:rsidRPr="00085C37" w:rsidRDefault="00D82ACD" w:rsidP="00085C37">
      <w:pPr>
        <w:pStyle w:val="ListParagraph"/>
        <w:numPr>
          <w:ilvl w:val="0"/>
          <w:numId w:val="11"/>
        </w:numPr>
        <w:tabs>
          <w:tab w:val="left" w:pos="4469"/>
        </w:tabs>
        <w:rPr>
          <w:rFonts w:eastAsia="Times New Roman" w:cstheme="minorHAnsi"/>
          <w:sz w:val="24"/>
          <w:szCs w:val="24"/>
        </w:rPr>
      </w:pPr>
      <w:hyperlink r:id="rId10" w:history="1">
        <w:r w:rsidR="008275B0" w:rsidRPr="00085C37">
          <w:rPr>
            <w:rFonts w:eastAsia="Times New Roman" w:cstheme="minorHAnsi"/>
            <w:sz w:val="24"/>
            <w:szCs w:val="24"/>
          </w:rPr>
          <w:t xml:space="preserve">Social marketing / Communications </w:t>
        </w:r>
        <w:proofErr w:type="spellStart"/>
        <w:r w:rsidR="008275B0" w:rsidRPr="00085C37">
          <w:rPr>
            <w:rFonts w:eastAsia="Times New Roman" w:cstheme="minorHAnsi"/>
            <w:sz w:val="24"/>
            <w:szCs w:val="24"/>
          </w:rPr>
          <w:t>eval</w:t>
        </w:r>
        <w:proofErr w:type="spellEnd"/>
        <w:r w:rsidR="008275B0" w:rsidRPr="00085C37">
          <w:rPr>
            <w:rFonts w:eastAsia="Times New Roman" w:cstheme="minorHAnsi"/>
            <w:sz w:val="24"/>
            <w:szCs w:val="24"/>
          </w:rPr>
          <w:t xml:space="preserve"> / Measurement</w:t>
        </w:r>
      </w:hyperlink>
    </w:p>
    <w:p w:rsidR="008275B0" w:rsidRPr="00085C37" w:rsidRDefault="00D82ACD" w:rsidP="00085C37">
      <w:pPr>
        <w:pStyle w:val="ListParagraph"/>
        <w:numPr>
          <w:ilvl w:val="0"/>
          <w:numId w:val="11"/>
        </w:numPr>
        <w:rPr>
          <w:rFonts w:eastAsia="Times New Roman" w:cstheme="minorHAnsi"/>
          <w:sz w:val="24"/>
          <w:szCs w:val="24"/>
        </w:rPr>
      </w:pPr>
      <w:hyperlink r:id="rId11" w:history="1">
        <w:r w:rsidR="008275B0" w:rsidRPr="00085C37">
          <w:rPr>
            <w:rFonts w:eastAsia="Times New Roman" w:cstheme="minorHAnsi"/>
            <w:sz w:val="24"/>
            <w:szCs w:val="24"/>
          </w:rPr>
          <w:t>Evaluating internal collaboration</w:t>
        </w:r>
      </w:hyperlink>
    </w:p>
    <w:p w:rsidR="008275B0" w:rsidRPr="00085C37" w:rsidRDefault="00D82ACD" w:rsidP="00085C37">
      <w:pPr>
        <w:pStyle w:val="ListParagraph"/>
        <w:numPr>
          <w:ilvl w:val="0"/>
          <w:numId w:val="11"/>
        </w:numPr>
        <w:tabs>
          <w:tab w:val="left" w:pos="4469"/>
        </w:tabs>
        <w:rPr>
          <w:rFonts w:eastAsia="Times New Roman" w:cstheme="minorHAnsi"/>
          <w:sz w:val="24"/>
          <w:szCs w:val="24"/>
        </w:rPr>
      </w:pPr>
      <w:hyperlink r:id="rId12" w:history="1">
        <w:r w:rsidR="008275B0" w:rsidRPr="00085C37">
          <w:rPr>
            <w:rFonts w:eastAsia="Times New Roman" w:cstheme="minorHAnsi"/>
            <w:sz w:val="24"/>
            <w:szCs w:val="24"/>
          </w:rPr>
          <w:t>Return On Investment: Sin? Savior? Both? Neither?</w:t>
        </w:r>
      </w:hyperlink>
      <w:r w:rsidR="008275B0" w:rsidRPr="00085C37">
        <w:rPr>
          <w:rFonts w:cstheme="minorHAnsi"/>
          <w:sz w:val="24"/>
          <w:szCs w:val="24"/>
        </w:rPr>
        <w:t xml:space="preserve"> </w:t>
      </w:r>
    </w:p>
    <w:p w:rsidR="00821088" w:rsidRPr="00085C37" w:rsidRDefault="00D82ACD" w:rsidP="00085C37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hyperlink r:id="rId13" w:history="1">
        <w:r w:rsidR="008275B0" w:rsidRPr="00085C37">
          <w:rPr>
            <w:rFonts w:eastAsia="Times New Roman" w:cstheme="minorHAnsi"/>
            <w:sz w:val="24"/>
            <w:szCs w:val="24"/>
          </w:rPr>
          <w:t>Developmental evaluation</w:t>
        </w:r>
      </w:hyperlink>
      <w:r w:rsidR="008275B0" w:rsidRPr="00085C37">
        <w:rPr>
          <w:rFonts w:cstheme="minorHAnsi"/>
          <w:sz w:val="24"/>
          <w:szCs w:val="24"/>
        </w:rPr>
        <w:t xml:space="preserve"> (MQP 2010)</w:t>
      </w:r>
    </w:p>
    <w:p w:rsidR="00821088" w:rsidRPr="00085C37" w:rsidRDefault="00D82ACD" w:rsidP="00085C37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hyperlink r:id="rId14" w:history="1">
        <w:r w:rsidR="008275B0" w:rsidRPr="00085C37">
          <w:rPr>
            <w:rFonts w:eastAsia="Times New Roman" w:cstheme="minorHAnsi"/>
            <w:sz w:val="24"/>
            <w:szCs w:val="24"/>
          </w:rPr>
          <w:t>Environmental education programs: What are we measuring?</w:t>
        </w:r>
      </w:hyperlink>
      <w:r w:rsidR="008275B0" w:rsidRPr="00085C37">
        <w:rPr>
          <w:rFonts w:cstheme="minorHAnsi"/>
          <w:sz w:val="24"/>
          <w:szCs w:val="24"/>
        </w:rPr>
        <w:t xml:space="preserve"> </w:t>
      </w:r>
    </w:p>
    <w:p w:rsidR="00821088" w:rsidRDefault="00D82ACD" w:rsidP="00085C37">
      <w:pPr>
        <w:pStyle w:val="ListParagraph"/>
        <w:numPr>
          <w:ilvl w:val="0"/>
          <w:numId w:val="11"/>
        </w:numPr>
      </w:pPr>
      <w:hyperlink r:id="rId15" w:history="1">
        <w:r w:rsidR="008275B0" w:rsidRPr="00085C37">
          <w:rPr>
            <w:rStyle w:val="Hyperlink"/>
            <w:rFonts w:cstheme="minorHAnsi"/>
            <w:color w:val="auto"/>
            <w:sz w:val="24"/>
            <w:szCs w:val="24"/>
            <w:u w:val="none"/>
            <w:bdr w:val="none" w:sz="0" w:space="0" w:color="auto" w:frame="1"/>
          </w:rPr>
          <w:t>Evaluating landscape projects for lots of landowners</w:t>
        </w:r>
      </w:hyperlink>
    </w:p>
    <w:p w:rsidR="008275B0" w:rsidRPr="00085C37" w:rsidRDefault="00D82ACD" w:rsidP="00085C37">
      <w:pPr>
        <w:pStyle w:val="ListParagraph"/>
        <w:numPr>
          <w:ilvl w:val="0"/>
          <w:numId w:val="11"/>
        </w:numPr>
        <w:rPr>
          <w:rFonts w:eastAsia="Times New Roman" w:cstheme="minorHAnsi"/>
          <w:sz w:val="24"/>
          <w:szCs w:val="24"/>
        </w:rPr>
      </w:pPr>
      <w:hyperlink r:id="rId16" w:history="1">
        <w:r w:rsidR="008275B0" w:rsidRPr="00085C37">
          <w:rPr>
            <w:rFonts w:eastAsia="Times New Roman" w:cstheme="minorHAnsi"/>
            <w:sz w:val="24"/>
            <w:szCs w:val="24"/>
          </w:rPr>
          <w:t>Inspiring interest and dedication to “the work”</w:t>
        </w:r>
      </w:hyperlink>
    </w:p>
    <w:p w:rsidR="008275B0" w:rsidRPr="00085C37" w:rsidRDefault="008275B0" w:rsidP="00085C37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085C37">
        <w:rPr>
          <w:rFonts w:cstheme="minorHAnsi"/>
          <w:sz w:val="24"/>
          <w:szCs w:val="24"/>
        </w:rPr>
        <w:lastRenderedPageBreak/>
        <w:t xml:space="preserve">Reinvigorate community well-being through evaluation </w:t>
      </w:r>
    </w:p>
    <w:p w:rsidR="008275B0" w:rsidRPr="00085C37" w:rsidRDefault="00D82ACD" w:rsidP="00085C37">
      <w:pPr>
        <w:pStyle w:val="ListParagraph"/>
        <w:numPr>
          <w:ilvl w:val="0"/>
          <w:numId w:val="11"/>
        </w:numPr>
        <w:tabs>
          <w:tab w:val="left" w:pos="4469"/>
        </w:tabs>
        <w:rPr>
          <w:rFonts w:eastAsia="Times New Roman" w:cstheme="minorHAnsi"/>
          <w:i/>
          <w:sz w:val="24"/>
          <w:szCs w:val="24"/>
        </w:rPr>
      </w:pPr>
      <w:hyperlink r:id="rId17" w:history="1">
        <w:r w:rsidR="008275B0" w:rsidRPr="00085C37">
          <w:rPr>
            <w:rFonts w:eastAsia="Times New Roman" w:cstheme="minorHAnsi"/>
            <w:sz w:val="24"/>
            <w:szCs w:val="24"/>
          </w:rPr>
          <w:t>Engage audiences with data visualization</w:t>
        </w:r>
      </w:hyperlink>
    </w:p>
    <w:p w:rsidR="008275B0" w:rsidRPr="005F619B" w:rsidRDefault="00D82ACD" w:rsidP="00085C37">
      <w:pPr>
        <w:pStyle w:val="ListParagraph"/>
        <w:numPr>
          <w:ilvl w:val="0"/>
          <w:numId w:val="11"/>
        </w:numPr>
        <w:rPr>
          <w:rFonts w:eastAsia="Times New Roman" w:cstheme="minorHAnsi"/>
          <w:sz w:val="24"/>
          <w:szCs w:val="24"/>
        </w:rPr>
      </w:pPr>
      <w:hyperlink r:id="rId18" w:history="1">
        <w:r w:rsidR="008275B0" w:rsidRPr="005F619B">
          <w:rPr>
            <w:rFonts w:eastAsia="Times New Roman" w:cstheme="minorHAnsi"/>
            <w:sz w:val="24"/>
            <w:szCs w:val="24"/>
          </w:rPr>
          <w:t>Fuzzy logic models</w:t>
        </w:r>
      </w:hyperlink>
    </w:p>
    <w:p w:rsidR="008275B0" w:rsidRPr="005F619B" w:rsidRDefault="00D82ACD" w:rsidP="00085C37">
      <w:pPr>
        <w:pStyle w:val="ListParagraph"/>
        <w:numPr>
          <w:ilvl w:val="0"/>
          <w:numId w:val="11"/>
        </w:numPr>
        <w:tabs>
          <w:tab w:val="left" w:pos="4469"/>
        </w:tabs>
        <w:rPr>
          <w:rFonts w:eastAsia="Times New Roman" w:cstheme="minorHAnsi"/>
          <w:sz w:val="24"/>
          <w:szCs w:val="24"/>
        </w:rPr>
      </w:pPr>
      <w:hyperlink r:id="rId19" w:history="1">
        <w:r w:rsidR="008275B0" w:rsidRPr="005F619B">
          <w:rPr>
            <w:rFonts w:eastAsia="Times New Roman" w:cstheme="minorHAnsi"/>
            <w:sz w:val="24"/>
            <w:szCs w:val="24"/>
          </w:rPr>
          <w:t>Evaluators new to the evaluation field: What do we need to know?</w:t>
        </w:r>
      </w:hyperlink>
    </w:p>
    <w:p w:rsidR="008275B0" w:rsidRPr="00085C37" w:rsidRDefault="00D82ACD" w:rsidP="00085C37">
      <w:pPr>
        <w:pStyle w:val="ListParagraph"/>
        <w:numPr>
          <w:ilvl w:val="0"/>
          <w:numId w:val="11"/>
        </w:numPr>
        <w:rPr>
          <w:rFonts w:eastAsia="Times New Roman" w:cstheme="minorHAnsi"/>
          <w:sz w:val="24"/>
          <w:szCs w:val="24"/>
        </w:rPr>
      </w:pPr>
      <w:hyperlink r:id="rId20" w:history="1">
        <w:r w:rsidR="008275B0" w:rsidRPr="00085C37">
          <w:rPr>
            <w:rFonts w:eastAsia="Times New Roman" w:cstheme="minorHAnsi"/>
            <w:sz w:val="24"/>
            <w:szCs w:val="24"/>
          </w:rPr>
          <w:t>Use of evidence and evaluation in budget proposals</w:t>
        </w:r>
      </w:hyperlink>
    </w:p>
    <w:p w:rsidR="008275B0" w:rsidRPr="00085C37" w:rsidRDefault="00D82ACD" w:rsidP="00085C37">
      <w:pPr>
        <w:pStyle w:val="ListParagraph"/>
        <w:numPr>
          <w:ilvl w:val="0"/>
          <w:numId w:val="11"/>
        </w:numPr>
        <w:rPr>
          <w:rFonts w:eastAsia="Times New Roman" w:cstheme="minorHAnsi"/>
          <w:sz w:val="24"/>
          <w:szCs w:val="24"/>
        </w:rPr>
      </w:pPr>
      <w:hyperlink r:id="rId21" w:history="1">
        <w:r w:rsidR="008275B0" w:rsidRPr="00085C37">
          <w:rPr>
            <w:rFonts w:eastAsia="Times New Roman" w:cstheme="minorHAnsi"/>
            <w:sz w:val="24"/>
            <w:szCs w:val="24"/>
          </w:rPr>
          <w:t>Measuring compliance and enforcement</w:t>
        </w:r>
      </w:hyperlink>
    </w:p>
    <w:p w:rsidR="008275B0" w:rsidRPr="00085C37" w:rsidRDefault="00D82ACD" w:rsidP="00085C37">
      <w:pPr>
        <w:pStyle w:val="ListParagraph"/>
        <w:numPr>
          <w:ilvl w:val="0"/>
          <w:numId w:val="11"/>
        </w:numPr>
        <w:rPr>
          <w:rFonts w:eastAsia="Times New Roman" w:cstheme="minorHAnsi"/>
          <w:sz w:val="24"/>
          <w:szCs w:val="24"/>
        </w:rPr>
      </w:pPr>
      <w:hyperlink r:id="rId22" w:history="1">
        <w:r w:rsidR="008275B0" w:rsidRPr="00085C37">
          <w:rPr>
            <w:rFonts w:eastAsia="Times New Roman" w:cstheme="minorHAnsi"/>
            <w:sz w:val="24"/>
            <w:szCs w:val="24"/>
          </w:rPr>
          <w:t>Future of evaluation</w:t>
        </w:r>
      </w:hyperlink>
    </w:p>
    <w:p w:rsidR="008275B0" w:rsidRPr="00085C37" w:rsidRDefault="00D82ACD" w:rsidP="00085C37">
      <w:pPr>
        <w:pStyle w:val="ListParagraph"/>
        <w:numPr>
          <w:ilvl w:val="0"/>
          <w:numId w:val="11"/>
        </w:numPr>
        <w:rPr>
          <w:rFonts w:eastAsia="Times New Roman" w:cstheme="minorHAnsi"/>
          <w:sz w:val="24"/>
          <w:szCs w:val="24"/>
        </w:rPr>
      </w:pPr>
      <w:hyperlink r:id="rId23" w:history="1">
        <w:r w:rsidR="008275B0" w:rsidRPr="00085C37">
          <w:rPr>
            <w:rFonts w:eastAsia="Times New Roman" w:cstheme="minorHAnsi"/>
            <w:sz w:val="24"/>
            <w:szCs w:val="24"/>
          </w:rPr>
          <w:t>What is AEA’s role to support environmental consciousness and responsibility?</w:t>
        </w:r>
      </w:hyperlink>
    </w:p>
    <w:p w:rsidR="008275B0" w:rsidRPr="00085C37" w:rsidRDefault="00D82ACD" w:rsidP="00085C37">
      <w:pPr>
        <w:pStyle w:val="ListParagraph"/>
        <w:numPr>
          <w:ilvl w:val="0"/>
          <w:numId w:val="11"/>
        </w:numPr>
        <w:rPr>
          <w:rFonts w:eastAsia="Times New Roman" w:cstheme="minorHAnsi"/>
          <w:sz w:val="24"/>
          <w:szCs w:val="24"/>
        </w:rPr>
      </w:pPr>
      <w:hyperlink r:id="rId24" w:history="1">
        <w:r w:rsidR="008275B0" w:rsidRPr="00085C37">
          <w:rPr>
            <w:rFonts w:eastAsia="Times New Roman" w:cstheme="minorHAnsi"/>
            <w:sz w:val="24"/>
            <w:szCs w:val="24"/>
          </w:rPr>
          <w:t>Increasing evaluation adoption</w:t>
        </w:r>
      </w:hyperlink>
    </w:p>
    <w:p w:rsidR="008275B0" w:rsidRDefault="00D82ACD" w:rsidP="00085C37">
      <w:pPr>
        <w:pStyle w:val="ListParagraph"/>
        <w:numPr>
          <w:ilvl w:val="0"/>
          <w:numId w:val="11"/>
        </w:numPr>
      </w:pPr>
      <w:hyperlink r:id="rId25" w:history="1">
        <w:r w:rsidR="008275B0" w:rsidRPr="00085C37">
          <w:rPr>
            <w:rFonts w:eastAsia="Times New Roman" w:cstheme="minorHAnsi"/>
            <w:sz w:val="24"/>
            <w:szCs w:val="24"/>
          </w:rPr>
          <w:t>Evaluating public engagement online</w:t>
        </w:r>
      </w:hyperlink>
    </w:p>
    <w:p w:rsidR="00821088" w:rsidRDefault="00821088" w:rsidP="00085C37">
      <w:pPr>
        <w:pStyle w:val="ListParagraph"/>
        <w:numPr>
          <w:ilvl w:val="0"/>
          <w:numId w:val="11"/>
        </w:numPr>
      </w:pPr>
      <w:r>
        <w:t>Low-cost, no-cost technology tools</w:t>
      </w:r>
    </w:p>
    <w:p w:rsidR="00821088" w:rsidRDefault="00085C37" w:rsidP="00085C37">
      <w:pPr>
        <w:pStyle w:val="ListParagraph"/>
        <w:numPr>
          <w:ilvl w:val="0"/>
          <w:numId w:val="11"/>
        </w:numPr>
      </w:pPr>
      <w:r>
        <w:t>Future of EEN</w:t>
      </w:r>
    </w:p>
    <w:p w:rsidR="00085C37" w:rsidRDefault="00085C37" w:rsidP="00085C37">
      <w:pPr>
        <w:pStyle w:val="ListParagraph"/>
        <w:numPr>
          <w:ilvl w:val="0"/>
          <w:numId w:val="11"/>
        </w:numPr>
      </w:pPr>
      <w:r>
        <w:t>NOAA Evaluation framework</w:t>
      </w:r>
    </w:p>
    <w:p w:rsidR="00085C37" w:rsidRDefault="00085C37" w:rsidP="00085C37">
      <w:pPr>
        <w:pStyle w:val="ListParagraph"/>
        <w:numPr>
          <w:ilvl w:val="0"/>
          <w:numId w:val="11"/>
        </w:numPr>
      </w:pPr>
      <w:r>
        <w:t>Evaluation of unintended consequences</w:t>
      </w:r>
    </w:p>
    <w:p w:rsidR="00085C37" w:rsidRDefault="00085C37" w:rsidP="00085C37">
      <w:pPr>
        <w:pStyle w:val="ListParagraph"/>
        <w:numPr>
          <w:ilvl w:val="0"/>
          <w:numId w:val="11"/>
        </w:numPr>
      </w:pPr>
      <w:r>
        <w:t>Designing regulations with built-in evaluation</w:t>
      </w:r>
    </w:p>
    <w:p w:rsidR="00085C37" w:rsidRDefault="00085C37" w:rsidP="00085C37">
      <w:pPr>
        <w:pStyle w:val="ListParagraph"/>
        <w:numPr>
          <w:ilvl w:val="0"/>
          <w:numId w:val="11"/>
        </w:numPr>
      </w:pPr>
      <w:r>
        <w:lastRenderedPageBreak/>
        <w:t>RCTs: Pitfalls and Solutions</w:t>
      </w:r>
    </w:p>
    <w:p w:rsidR="00085C37" w:rsidRDefault="00085C37" w:rsidP="00085C37">
      <w:pPr>
        <w:pStyle w:val="ListParagraph"/>
        <w:numPr>
          <w:ilvl w:val="0"/>
          <w:numId w:val="11"/>
        </w:numPr>
      </w:pPr>
      <w:r>
        <w:t>Green products roundtable: Higher education pilot</w:t>
      </w:r>
    </w:p>
    <w:p w:rsidR="00085C37" w:rsidRDefault="00085C37" w:rsidP="00085C37">
      <w:pPr>
        <w:pStyle w:val="ListParagraph"/>
        <w:numPr>
          <w:ilvl w:val="0"/>
          <w:numId w:val="11"/>
        </w:numPr>
      </w:pPr>
      <w:r>
        <w:t>Climate change evaluation</w:t>
      </w:r>
    </w:p>
    <w:p w:rsidR="00085C37" w:rsidRDefault="00085C37" w:rsidP="00085C37">
      <w:pPr>
        <w:pStyle w:val="ListParagraph"/>
        <w:numPr>
          <w:ilvl w:val="0"/>
          <w:numId w:val="11"/>
        </w:numPr>
      </w:pPr>
      <w:r>
        <w:t>Web-based public engagement</w:t>
      </w:r>
    </w:p>
    <w:p w:rsidR="00085C37" w:rsidRDefault="00085C37" w:rsidP="00085C37">
      <w:pPr>
        <w:pStyle w:val="ListParagraph"/>
        <w:numPr>
          <w:ilvl w:val="0"/>
          <w:numId w:val="11"/>
        </w:numPr>
      </w:pPr>
      <w:r>
        <w:t>Landscape engagement of woodland owners</w:t>
      </w:r>
    </w:p>
    <w:p w:rsidR="00085C37" w:rsidRDefault="00085C37" w:rsidP="00085C37">
      <w:pPr>
        <w:pStyle w:val="ListParagraph"/>
        <w:numPr>
          <w:ilvl w:val="0"/>
          <w:numId w:val="11"/>
        </w:numPr>
      </w:pPr>
      <w:r>
        <w:t>AEA's role in supporting environmental evaluators</w:t>
      </w:r>
    </w:p>
    <w:p w:rsidR="00085C37" w:rsidRDefault="00085C37" w:rsidP="00085C37">
      <w:pPr>
        <w:pStyle w:val="ListParagraph"/>
        <w:numPr>
          <w:ilvl w:val="0"/>
          <w:numId w:val="11"/>
        </w:numPr>
      </w:pPr>
      <w:r>
        <w:t>Environmental education Part II</w:t>
      </w:r>
    </w:p>
    <w:p w:rsidR="00085C37" w:rsidRDefault="00085C37" w:rsidP="00821088">
      <w:pPr>
        <w:sectPr w:rsidR="00085C37" w:rsidSect="00397A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72C5" w:rsidRDefault="0000064A" w:rsidP="00261D49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26080" cy="2194560"/>
            <wp:effectExtent l="19050" t="0" r="7620" b="0"/>
            <wp:docPr id="10" name="Picture 10" descr="http://farm9.staticflickr.com/8005/7684651692_d39b1bf05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arm9.staticflickr.com/8005/7684651692_d39b1bf055_b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2C5" w:rsidRDefault="00E572C5" w:rsidP="00261D49">
      <w:pPr>
        <w:rPr>
          <w:rFonts w:cstheme="minorHAnsi"/>
          <w:sz w:val="24"/>
          <w:szCs w:val="24"/>
        </w:rPr>
      </w:pPr>
    </w:p>
    <w:p w:rsidR="0000064A" w:rsidRDefault="0000064A" w:rsidP="00261D49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26080" cy="2194560"/>
            <wp:effectExtent l="19050" t="0" r="7620" b="0"/>
            <wp:docPr id="13" name="Picture 13" descr="http://farm9.staticflickr.com/8430/7684644680_290e9f661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arm9.staticflickr.com/8430/7684644680_290e9f6615_b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2C" w:rsidRDefault="007C3E2C" w:rsidP="00261D49">
      <w:pPr>
        <w:rPr>
          <w:rFonts w:cstheme="minorHAnsi"/>
          <w:sz w:val="24"/>
          <w:szCs w:val="24"/>
        </w:rPr>
        <w:sectPr w:rsidR="007C3E2C" w:rsidSect="007C3E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1D49" w:rsidRPr="00E572C5" w:rsidRDefault="00E572C5" w:rsidP="00261D49">
      <w:pPr>
        <w:rPr>
          <w:rFonts w:cstheme="minorHAnsi"/>
        </w:rPr>
      </w:pPr>
      <w:r>
        <w:rPr>
          <w:rFonts w:cstheme="minorHAnsi"/>
          <w:sz w:val="24"/>
          <w:szCs w:val="24"/>
        </w:rPr>
        <w:lastRenderedPageBreak/>
        <w:t xml:space="preserve">Some sessions consisted of </w:t>
      </w:r>
      <w:r w:rsidR="007C3E2C">
        <w:rPr>
          <w:rFonts w:cstheme="minorHAnsi"/>
        </w:rPr>
        <w:t>formal presentations;</w:t>
      </w:r>
      <w:r w:rsidRPr="00E572C5">
        <w:rPr>
          <w:rFonts w:cstheme="minorHAnsi"/>
        </w:rPr>
        <w:t xml:space="preserve"> </w:t>
      </w:r>
      <w:r>
        <w:rPr>
          <w:rFonts w:cstheme="minorHAnsi"/>
        </w:rPr>
        <w:t xml:space="preserve">in </w:t>
      </w:r>
      <w:r w:rsidRPr="00E572C5">
        <w:rPr>
          <w:rFonts w:cstheme="minorHAnsi"/>
        </w:rPr>
        <w:t xml:space="preserve">some </w:t>
      </w:r>
      <w:r>
        <w:rPr>
          <w:rFonts w:cstheme="minorHAnsi"/>
        </w:rPr>
        <w:t xml:space="preserve">attendees discussed a </w:t>
      </w:r>
      <w:r w:rsidRPr="00E572C5">
        <w:rPr>
          <w:rFonts w:cstheme="minorHAnsi"/>
        </w:rPr>
        <w:t xml:space="preserve">few </w:t>
      </w:r>
      <w:r>
        <w:rPr>
          <w:rFonts w:cstheme="minorHAnsi"/>
        </w:rPr>
        <w:t xml:space="preserve">key </w:t>
      </w:r>
      <w:r w:rsidR="007C3E2C">
        <w:rPr>
          <w:rFonts w:cstheme="minorHAnsi"/>
        </w:rPr>
        <w:t xml:space="preserve">questions; </w:t>
      </w:r>
      <w:r>
        <w:rPr>
          <w:rFonts w:cstheme="minorHAnsi"/>
        </w:rPr>
        <w:t xml:space="preserve">and others were </w:t>
      </w:r>
      <w:r w:rsidRPr="00E572C5">
        <w:rPr>
          <w:rFonts w:cstheme="minorHAnsi"/>
        </w:rPr>
        <w:t>roundtable discussion</w:t>
      </w:r>
      <w:r>
        <w:rPr>
          <w:rFonts w:cstheme="minorHAnsi"/>
        </w:rPr>
        <w:t>s</w:t>
      </w:r>
      <w:r w:rsidRPr="00E572C5">
        <w:rPr>
          <w:rFonts w:cstheme="minorHAnsi"/>
        </w:rPr>
        <w:t xml:space="preserve">. </w:t>
      </w:r>
      <w:r>
        <w:rPr>
          <w:rFonts w:cstheme="minorHAnsi"/>
          <w:sz w:val="24"/>
          <w:szCs w:val="24"/>
        </w:rPr>
        <w:t xml:space="preserve">In addition, </w:t>
      </w:r>
      <w:r w:rsidR="00261D49">
        <w:rPr>
          <w:rFonts w:cstheme="minorHAnsi"/>
          <w:sz w:val="24"/>
          <w:szCs w:val="24"/>
        </w:rPr>
        <w:t xml:space="preserve">American University </w:t>
      </w:r>
      <w:r>
        <w:rPr>
          <w:rFonts w:cstheme="minorHAnsi"/>
          <w:sz w:val="24"/>
          <w:szCs w:val="24"/>
        </w:rPr>
        <w:t xml:space="preserve">also </w:t>
      </w:r>
      <w:r w:rsidR="00261D49">
        <w:rPr>
          <w:rFonts w:cstheme="minorHAnsi"/>
          <w:sz w:val="24"/>
          <w:szCs w:val="24"/>
        </w:rPr>
        <w:t>hosted an optional field trip, sh</w:t>
      </w:r>
      <w:r w:rsidR="00952DB9">
        <w:rPr>
          <w:rFonts w:cstheme="minorHAnsi"/>
          <w:sz w:val="24"/>
          <w:szCs w:val="24"/>
        </w:rPr>
        <w:t>aring with attendees AU's intention to be carbon neutral by 2020 by reducing use, purchasing renewable energy, and off-setting</w:t>
      </w:r>
      <w:r>
        <w:rPr>
          <w:rFonts w:cstheme="minorHAnsi"/>
          <w:sz w:val="24"/>
          <w:szCs w:val="24"/>
        </w:rPr>
        <w:t xml:space="preserve">; and </w:t>
      </w:r>
      <w:r w:rsidR="007C3E2C">
        <w:rPr>
          <w:rFonts w:cstheme="minorHAnsi"/>
          <w:sz w:val="24"/>
          <w:szCs w:val="24"/>
        </w:rPr>
        <w:t xml:space="preserve">there was </w:t>
      </w:r>
      <w:r>
        <w:rPr>
          <w:rFonts w:cstheme="minorHAnsi"/>
          <w:sz w:val="24"/>
          <w:szCs w:val="24"/>
        </w:rPr>
        <w:t>o</w:t>
      </w:r>
      <w:r w:rsidR="00261D49">
        <w:rPr>
          <w:rFonts w:cstheme="minorHAnsi"/>
          <w:sz w:val="24"/>
          <w:szCs w:val="24"/>
        </w:rPr>
        <w:t xml:space="preserve">ne </w:t>
      </w:r>
      <w:r>
        <w:rPr>
          <w:rFonts w:cstheme="minorHAnsi"/>
          <w:sz w:val="24"/>
          <w:szCs w:val="24"/>
        </w:rPr>
        <w:t xml:space="preserve">brown </w:t>
      </w:r>
      <w:r w:rsidR="00261D49">
        <w:rPr>
          <w:rFonts w:cstheme="minorHAnsi"/>
          <w:sz w:val="24"/>
          <w:szCs w:val="24"/>
        </w:rPr>
        <w:t>bag style l</w:t>
      </w:r>
      <w:r w:rsidR="00261D49" w:rsidRPr="0093421B">
        <w:rPr>
          <w:rFonts w:cstheme="minorHAnsi"/>
          <w:sz w:val="24"/>
          <w:szCs w:val="24"/>
        </w:rPr>
        <w:t xml:space="preserve">unch </w:t>
      </w:r>
      <w:r w:rsidR="00261D49">
        <w:rPr>
          <w:rFonts w:cstheme="minorHAnsi"/>
          <w:sz w:val="24"/>
          <w:szCs w:val="24"/>
        </w:rPr>
        <w:t>d</w:t>
      </w:r>
      <w:r w:rsidR="00261D49" w:rsidRPr="0093421B">
        <w:rPr>
          <w:rFonts w:cstheme="minorHAnsi"/>
          <w:sz w:val="24"/>
          <w:szCs w:val="24"/>
        </w:rPr>
        <w:t>iscussion</w:t>
      </w:r>
      <w:r w:rsidR="00261D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regarding environmental evaluation and advocacy</w:t>
      </w:r>
      <w:r w:rsidR="00261D49">
        <w:rPr>
          <w:rFonts w:cstheme="minorHAnsi"/>
          <w:sz w:val="24"/>
          <w:szCs w:val="24"/>
        </w:rPr>
        <w:t>.</w:t>
      </w:r>
    </w:p>
    <w:p w:rsidR="00952DB9" w:rsidRDefault="00952DB9" w:rsidP="00261D49">
      <w:pPr>
        <w:rPr>
          <w:rFonts w:cstheme="minorHAnsi"/>
          <w:sz w:val="24"/>
          <w:szCs w:val="24"/>
        </w:rPr>
      </w:pPr>
    </w:p>
    <w:p w:rsidR="00947A08" w:rsidRDefault="00085C37" w:rsidP="0082108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Most of these sessions had recorders</w:t>
      </w:r>
      <w:r w:rsidR="009F5ABD">
        <w:rPr>
          <w:rFonts w:eastAsia="Times New Roman" w:cstheme="minorHAnsi"/>
          <w:sz w:val="24"/>
          <w:szCs w:val="24"/>
        </w:rPr>
        <w:t xml:space="preserve">, who documented themes discussed in the session, </w:t>
      </w:r>
      <w:r w:rsidR="006F36EA">
        <w:rPr>
          <w:rFonts w:eastAsia="Times New Roman" w:cstheme="minorHAnsi"/>
          <w:sz w:val="24"/>
          <w:szCs w:val="24"/>
        </w:rPr>
        <w:t>participation, and outcomes.</w:t>
      </w:r>
      <w:r w:rsidR="00B677D8">
        <w:rPr>
          <w:rFonts w:eastAsia="Times New Roman" w:cstheme="minorHAnsi"/>
          <w:sz w:val="24"/>
          <w:szCs w:val="24"/>
        </w:rPr>
        <w:t xml:space="preserve"> The </w:t>
      </w:r>
      <w:r w:rsidR="005B1D44">
        <w:rPr>
          <w:rFonts w:eastAsia="Times New Roman" w:cstheme="minorHAnsi"/>
          <w:sz w:val="24"/>
          <w:szCs w:val="24"/>
        </w:rPr>
        <w:t xml:space="preserve">recorders perceived the </w:t>
      </w:r>
      <w:r w:rsidR="00B677D8">
        <w:rPr>
          <w:rFonts w:eastAsia="Times New Roman" w:cstheme="minorHAnsi"/>
          <w:sz w:val="24"/>
          <w:szCs w:val="24"/>
        </w:rPr>
        <w:t>great majority of session</w:t>
      </w:r>
      <w:r w:rsidR="007C3E2C">
        <w:rPr>
          <w:rFonts w:eastAsia="Times New Roman" w:cstheme="minorHAnsi"/>
          <w:sz w:val="24"/>
          <w:szCs w:val="24"/>
        </w:rPr>
        <w:t>s</w:t>
      </w:r>
      <w:r w:rsidR="00B677D8">
        <w:rPr>
          <w:rFonts w:eastAsia="Times New Roman" w:cstheme="minorHAnsi"/>
          <w:sz w:val="24"/>
          <w:szCs w:val="24"/>
        </w:rPr>
        <w:t xml:space="preserve"> </w:t>
      </w:r>
      <w:r w:rsidR="005B1D44">
        <w:rPr>
          <w:rFonts w:eastAsia="Times New Roman" w:cstheme="minorHAnsi"/>
          <w:sz w:val="24"/>
          <w:szCs w:val="24"/>
        </w:rPr>
        <w:t>as being</w:t>
      </w:r>
      <w:r w:rsidR="007C3E2C">
        <w:rPr>
          <w:rFonts w:eastAsia="Times New Roman" w:cstheme="minorHAnsi"/>
          <w:sz w:val="24"/>
          <w:szCs w:val="24"/>
        </w:rPr>
        <w:t xml:space="preserve"> </w:t>
      </w:r>
      <w:r w:rsidR="005B1D44">
        <w:rPr>
          <w:rFonts w:eastAsia="Times New Roman" w:cstheme="minorHAnsi"/>
          <w:sz w:val="24"/>
          <w:szCs w:val="24"/>
        </w:rPr>
        <w:t xml:space="preserve">lively with </w:t>
      </w:r>
      <w:r w:rsidR="007C3E2C">
        <w:rPr>
          <w:rFonts w:eastAsia="Times New Roman" w:cstheme="minorHAnsi"/>
          <w:sz w:val="24"/>
          <w:szCs w:val="24"/>
        </w:rPr>
        <w:t>participation by m</w:t>
      </w:r>
      <w:r w:rsidR="005B1D44">
        <w:rPr>
          <w:rFonts w:eastAsia="Times New Roman" w:cstheme="minorHAnsi"/>
          <w:sz w:val="24"/>
          <w:szCs w:val="24"/>
        </w:rPr>
        <w:t>any</w:t>
      </w:r>
      <w:r w:rsidR="007C3E2C">
        <w:rPr>
          <w:rFonts w:eastAsia="Times New Roman" w:cstheme="minorHAnsi"/>
          <w:sz w:val="24"/>
          <w:szCs w:val="24"/>
        </w:rPr>
        <w:t xml:space="preserve"> attendees</w:t>
      </w:r>
      <w:r w:rsidR="00B677D8">
        <w:rPr>
          <w:rFonts w:eastAsia="Times New Roman" w:cstheme="minorHAnsi"/>
          <w:sz w:val="24"/>
          <w:szCs w:val="24"/>
        </w:rPr>
        <w:t xml:space="preserve">. </w:t>
      </w:r>
    </w:p>
    <w:p w:rsidR="007C3E2C" w:rsidRDefault="007C3E2C" w:rsidP="00821088">
      <w:pPr>
        <w:rPr>
          <w:rFonts w:eastAsia="Times New Roman" w:cstheme="minorHAnsi"/>
          <w:sz w:val="24"/>
          <w:szCs w:val="24"/>
        </w:rPr>
      </w:pPr>
    </w:p>
    <w:p w:rsidR="00467E5B" w:rsidRDefault="005F619B" w:rsidP="0082108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Some of the themes discussed across multiple sessions included:</w:t>
      </w:r>
      <w:r w:rsidR="00467E5B">
        <w:rPr>
          <w:rFonts w:eastAsia="Times New Roman" w:cstheme="minorHAnsi"/>
          <w:sz w:val="24"/>
          <w:szCs w:val="24"/>
        </w:rPr>
        <w:t xml:space="preserve"> </w:t>
      </w:r>
    </w:p>
    <w:p w:rsidR="00467E5B" w:rsidRPr="0023710B" w:rsidRDefault="00467E5B" w:rsidP="00E207D9">
      <w:pPr>
        <w:pStyle w:val="ListParagraph"/>
        <w:numPr>
          <w:ilvl w:val="0"/>
          <w:numId w:val="14"/>
        </w:numPr>
        <w:rPr>
          <w:rFonts w:eastAsia="Times New Roman" w:cstheme="minorHAnsi"/>
          <w:sz w:val="24"/>
          <w:szCs w:val="24"/>
        </w:rPr>
      </w:pPr>
      <w:r w:rsidRPr="0023710B">
        <w:rPr>
          <w:rFonts w:eastAsia="Times New Roman" w:cstheme="minorHAnsi"/>
          <w:sz w:val="24"/>
          <w:szCs w:val="24"/>
        </w:rPr>
        <w:t>Appropriateness of particular methods (e.g. controlled trials, cost-benefit analysis, return on investment)</w:t>
      </w:r>
    </w:p>
    <w:p w:rsidR="0023710B" w:rsidRPr="0023710B" w:rsidRDefault="00467E5B" w:rsidP="00E207D9">
      <w:pPr>
        <w:pStyle w:val="ListParagraph"/>
        <w:numPr>
          <w:ilvl w:val="0"/>
          <w:numId w:val="14"/>
        </w:numPr>
        <w:rPr>
          <w:rFonts w:eastAsia="Times New Roman" w:cstheme="minorHAnsi"/>
          <w:sz w:val="24"/>
          <w:szCs w:val="24"/>
        </w:rPr>
      </w:pPr>
      <w:r w:rsidRPr="0023710B">
        <w:rPr>
          <w:rFonts w:eastAsia="Times New Roman" w:cstheme="minorHAnsi"/>
          <w:sz w:val="24"/>
          <w:szCs w:val="24"/>
        </w:rPr>
        <w:t>Helping people to understand information (tailoring to audiences,</w:t>
      </w:r>
      <w:r w:rsidR="00261D49">
        <w:rPr>
          <w:rFonts w:eastAsia="Times New Roman" w:cstheme="minorHAnsi"/>
          <w:sz w:val="24"/>
          <w:szCs w:val="24"/>
        </w:rPr>
        <w:t xml:space="preserve"> visualization)</w:t>
      </w:r>
      <w:r w:rsidR="0023710B" w:rsidRPr="0023710B">
        <w:rPr>
          <w:rFonts w:eastAsia="Times New Roman" w:cstheme="minorHAnsi"/>
          <w:sz w:val="24"/>
          <w:szCs w:val="24"/>
        </w:rPr>
        <w:t xml:space="preserve"> </w:t>
      </w:r>
    </w:p>
    <w:p w:rsidR="0023710B" w:rsidRDefault="0023710B" w:rsidP="00E207D9">
      <w:pPr>
        <w:pStyle w:val="ListParagraph"/>
        <w:numPr>
          <w:ilvl w:val="0"/>
          <w:numId w:val="14"/>
        </w:numPr>
        <w:rPr>
          <w:rFonts w:eastAsia="Times New Roman" w:cstheme="minorHAnsi"/>
          <w:sz w:val="24"/>
          <w:szCs w:val="24"/>
        </w:rPr>
      </w:pPr>
      <w:r w:rsidRPr="0023710B">
        <w:rPr>
          <w:rFonts w:eastAsia="Times New Roman" w:cstheme="minorHAnsi"/>
          <w:sz w:val="24"/>
          <w:szCs w:val="24"/>
        </w:rPr>
        <w:t>Improving instrumental use of evaluation</w:t>
      </w:r>
      <w:r w:rsidR="00261D49">
        <w:rPr>
          <w:rFonts w:eastAsia="Times New Roman" w:cstheme="minorHAnsi"/>
          <w:sz w:val="24"/>
          <w:szCs w:val="24"/>
        </w:rPr>
        <w:t xml:space="preserve"> and avoiding misuse</w:t>
      </w:r>
    </w:p>
    <w:p w:rsidR="0023710B" w:rsidRDefault="0023710B" w:rsidP="00E207D9">
      <w:pPr>
        <w:pStyle w:val="ListParagraph"/>
        <w:numPr>
          <w:ilvl w:val="0"/>
          <w:numId w:val="1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Common challenges in environmental programs and their evaluation (unclear program theory, unintended consequences, different values among stakeholders – even hostility among partners in some cases, time lag, time scales</w:t>
      </w:r>
      <w:r w:rsidR="00261D49">
        <w:rPr>
          <w:rFonts w:eastAsia="Times New Roman" w:cstheme="minorHAnsi"/>
          <w:sz w:val="24"/>
          <w:szCs w:val="24"/>
        </w:rPr>
        <w:t>, feedback loops that are not well understood</w:t>
      </w:r>
      <w:r>
        <w:rPr>
          <w:rFonts w:eastAsia="Times New Roman" w:cstheme="minorHAnsi"/>
          <w:sz w:val="24"/>
          <w:szCs w:val="24"/>
        </w:rPr>
        <w:t>)</w:t>
      </w:r>
    </w:p>
    <w:p w:rsidR="00261D49" w:rsidRDefault="0023710B" w:rsidP="00E207D9">
      <w:pPr>
        <w:pStyle w:val="ListParagraph"/>
        <w:numPr>
          <w:ilvl w:val="0"/>
          <w:numId w:val="1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 xml:space="preserve">Ensuring compliance systems are fair (measures are meaningful, well-defined, </w:t>
      </w:r>
      <w:r w:rsidR="00261D49">
        <w:rPr>
          <w:rFonts w:eastAsia="Times New Roman" w:cstheme="minorHAnsi"/>
          <w:sz w:val="24"/>
          <w:szCs w:val="24"/>
        </w:rPr>
        <w:t>important/relevant)</w:t>
      </w:r>
    </w:p>
    <w:p w:rsidR="00261D49" w:rsidRDefault="00261D49" w:rsidP="00E207D9">
      <w:pPr>
        <w:pStyle w:val="ListParagraph"/>
        <w:numPr>
          <w:ilvl w:val="0"/>
          <w:numId w:val="1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Evaluator competence (communities of practice, needed professional development, possible certification process )</w:t>
      </w:r>
    </w:p>
    <w:p w:rsidR="00261D49" w:rsidRDefault="00261D49" w:rsidP="00E207D9">
      <w:pPr>
        <w:pStyle w:val="ListParagraph"/>
        <w:numPr>
          <w:ilvl w:val="0"/>
          <w:numId w:val="1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Evaluation in the world (</w:t>
      </w:r>
      <w:r w:rsidR="005B1D44">
        <w:rPr>
          <w:rFonts w:eastAsia="Times New Roman" w:cstheme="minorHAnsi"/>
          <w:sz w:val="24"/>
          <w:szCs w:val="24"/>
        </w:rPr>
        <w:t>f</w:t>
      </w:r>
      <w:r>
        <w:rPr>
          <w:rFonts w:eastAsia="Times New Roman" w:cstheme="minorHAnsi"/>
          <w:sz w:val="24"/>
          <w:szCs w:val="24"/>
        </w:rPr>
        <w:t>ostering evaluation-friendly culture in agencies, expanding environmental evaluator network geographically)</w:t>
      </w:r>
    </w:p>
    <w:p w:rsidR="0023710B" w:rsidRPr="0023710B" w:rsidRDefault="00261D49" w:rsidP="00E207D9">
      <w:pPr>
        <w:pStyle w:val="ListParagraph"/>
        <w:numPr>
          <w:ilvl w:val="0"/>
          <w:numId w:val="1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Environmental capacity building</w:t>
      </w:r>
    </w:p>
    <w:p w:rsidR="00F70BCB" w:rsidRPr="007C3E2C" w:rsidRDefault="0023710B" w:rsidP="00F70BCB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467E5B">
        <w:rPr>
          <w:rFonts w:eastAsia="Times New Roman" w:cstheme="minorHAnsi"/>
          <w:sz w:val="24"/>
          <w:szCs w:val="24"/>
        </w:rPr>
        <w:t xml:space="preserve">  </w:t>
      </w:r>
      <w:r w:rsidR="00C45A3D">
        <w:rPr>
          <w:rFonts w:cstheme="minorHAnsi"/>
          <w:sz w:val="24"/>
          <w:szCs w:val="24"/>
        </w:rPr>
        <w:t xml:space="preserve">                   </w:t>
      </w:r>
    </w:p>
    <w:p w:rsidR="00952DB9" w:rsidRDefault="005B1D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addition to sessions led by attendees, </w:t>
      </w:r>
      <w:r w:rsidR="00952DB9">
        <w:rPr>
          <w:rFonts w:cstheme="minorHAnsi"/>
          <w:sz w:val="24"/>
          <w:szCs w:val="24"/>
        </w:rPr>
        <w:t xml:space="preserve">Office of Management and Budget </w:t>
      </w:r>
      <w:r w:rsidR="006D185A">
        <w:rPr>
          <w:rFonts w:cstheme="minorHAnsi"/>
          <w:sz w:val="24"/>
          <w:szCs w:val="24"/>
        </w:rPr>
        <w:t>Associate Director</w:t>
      </w:r>
      <w:r w:rsidR="00952DB9">
        <w:rPr>
          <w:rFonts w:cstheme="minorHAnsi"/>
          <w:sz w:val="24"/>
          <w:szCs w:val="24"/>
        </w:rPr>
        <w:t xml:space="preserve"> Shelly Metzenbaum</w:t>
      </w:r>
      <w:r>
        <w:rPr>
          <w:rFonts w:cstheme="minorHAnsi"/>
          <w:sz w:val="24"/>
          <w:szCs w:val="24"/>
        </w:rPr>
        <w:t xml:space="preserve"> gave a keynote address</w:t>
      </w:r>
      <w:r w:rsidR="007C3E2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explaining the </w:t>
      </w:r>
      <w:r w:rsidR="00952DB9">
        <w:rPr>
          <w:rFonts w:cstheme="minorHAnsi"/>
          <w:sz w:val="24"/>
          <w:szCs w:val="24"/>
        </w:rPr>
        <w:t xml:space="preserve">OMB </w:t>
      </w:r>
      <w:r>
        <w:rPr>
          <w:rFonts w:cstheme="minorHAnsi"/>
          <w:sz w:val="24"/>
          <w:szCs w:val="24"/>
        </w:rPr>
        <w:t>memo</w:t>
      </w:r>
      <w:r w:rsidR="00952DB9">
        <w:rPr>
          <w:rFonts w:cstheme="minorHAnsi"/>
          <w:sz w:val="24"/>
          <w:szCs w:val="24"/>
        </w:rPr>
        <w:t xml:space="preserve">, </w:t>
      </w:r>
      <w:r w:rsidR="006D185A">
        <w:rPr>
          <w:rFonts w:cstheme="minorHAnsi"/>
          <w:sz w:val="24"/>
          <w:szCs w:val="24"/>
        </w:rPr>
        <w:t>'Use of evidence an</w:t>
      </w:r>
      <w:r>
        <w:rPr>
          <w:rFonts w:cstheme="minorHAnsi"/>
          <w:sz w:val="24"/>
          <w:szCs w:val="24"/>
        </w:rPr>
        <w:t>d evaluation in the 2014 budget,</w:t>
      </w:r>
      <w:r w:rsidR="006D185A">
        <w:rPr>
          <w:rFonts w:cstheme="minorHAnsi"/>
          <w:sz w:val="24"/>
          <w:szCs w:val="24"/>
        </w:rPr>
        <w:t xml:space="preserve">' </w:t>
      </w:r>
      <w:r w:rsidR="00952DB9">
        <w:rPr>
          <w:rFonts w:cstheme="minorHAnsi"/>
          <w:sz w:val="24"/>
          <w:szCs w:val="24"/>
        </w:rPr>
        <w:t>an initiative to deliver '</w:t>
      </w:r>
      <w:r>
        <w:rPr>
          <w:rFonts w:cstheme="minorHAnsi"/>
          <w:sz w:val="24"/>
          <w:szCs w:val="24"/>
        </w:rPr>
        <w:t>g</w:t>
      </w:r>
      <w:r w:rsidR="00952DB9">
        <w:rPr>
          <w:rFonts w:cstheme="minorHAnsi"/>
          <w:sz w:val="24"/>
          <w:szCs w:val="24"/>
        </w:rPr>
        <w:t xml:space="preserve">overnment that </w:t>
      </w:r>
      <w:r>
        <w:rPr>
          <w:rFonts w:cstheme="minorHAnsi"/>
          <w:sz w:val="24"/>
          <w:szCs w:val="24"/>
        </w:rPr>
        <w:t>w</w:t>
      </w:r>
      <w:r w:rsidR="00952DB9">
        <w:rPr>
          <w:rFonts w:cstheme="minorHAnsi"/>
          <w:sz w:val="24"/>
          <w:szCs w:val="24"/>
        </w:rPr>
        <w:t>orks' by requiring agencies to report their programs' effectiveness. Dr. Me</w:t>
      </w:r>
      <w:r w:rsidR="00A12253">
        <w:rPr>
          <w:rFonts w:cstheme="minorHAnsi"/>
          <w:sz w:val="24"/>
          <w:szCs w:val="24"/>
        </w:rPr>
        <w:t>t</w:t>
      </w:r>
      <w:r w:rsidR="00952DB9">
        <w:rPr>
          <w:rFonts w:cstheme="minorHAnsi"/>
          <w:sz w:val="24"/>
          <w:szCs w:val="24"/>
        </w:rPr>
        <w:t xml:space="preserve">zenbaum </w:t>
      </w:r>
      <w:r w:rsidR="00E207D9">
        <w:rPr>
          <w:rFonts w:cstheme="minorHAnsi"/>
          <w:sz w:val="24"/>
          <w:szCs w:val="24"/>
        </w:rPr>
        <w:t xml:space="preserve">answered challenging questions posed by environmental </w:t>
      </w:r>
      <w:r w:rsidR="00A12253">
        <w:rPr>
          <w:rFonts w:cstheme="minorHAnsi"/>
          <w:sz w:val="24"/>
          <w:szCs w:val="24"/>
        </w:rPr>
        <w:t xml:space="preserve">and </w:t>
      </w:r>
      <w:r w:rsidR="00E207D9">
        <w:rPr>
          <w:rFonts w:cstheme="minorHAnsi"/>
          <w:sz w:val="24"/>
          <w:szCs w:val="24"/>
        </w:rPr>
        <w:t xml:space="preserve">evaluation leaders. </w:t>
      </w:r>
    </w:p>
    <w:p w:rsidR="00E207D9" w:rsidRDefault="00E207D9">
      <w:pPr>
        <w:rPr>
          <w:rFonts w:cstheme="minorHAnsi"/>
          <w:sz w:val="24"/>
          <w:szCs w:val="24"/>
        </w:rPr>
      </w:pPr>
    </w:p>
    <w:p w:rsidR="00E207D9" w:rsidRDefault="00E207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always, the conference allowed plenty of time for </w:t>
      </w:r>
      <w:r w:rsidR="00AC140E">
        <w:rPr>
          <w:rFonts w:cstheme="minorHAnsi"/>
          <w:sz w:val="24"/>
          <w:szCs w:val="24"/>
        </w:rPr>
        <w:t xml:space="preserve">informal discussion and </w:t>
      </w:r>
      <w:r>
        <w:rPr>
          <w:rFonts w:cstheme="minorHAnsi"/>
          <w:sz w:val="24"/>
          <w:szCs w:val="24"/>
        </w:rPr>
        <w:t>socializing!</w:t>
      </w:r>
    </w:p>
    <w:p w:rsidR="00AC140E" w:rsidRDefault="00AC140E">
      <w:pPr>
        <w:rPr>
          <w:rFonts w:cstheme="minorHAnsi"/>
          <w:sz w:val="24"/>
          <w:szCs w:val="24"/>
        </w:rPr>
        <w:sectPr w:rsidR="00AC140E" w:rsidSect="00397A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140E" w:rsidRDefault="00AC140E">
      <w:pPr>
        <w:rPr>
          <w:rFonts w:cstheme="minorHAnsi"/>
          <w:sz w:val="24"/>
          <w:szCs w:val="24"/>
        </w:rPr>
      </w:pPr>
    </w:p>
    <w:p w:rsidR="00E207D9" w:rsidRDefault="00E207D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2923223" cy="2194560"/>
            <wp:effectExtent l="19050" t="0" r="0" b="0"/>
            <wp:docPr id="16" name="Picture 16" descr="C:\Users\Public\Pictures\2012\EEN July 2012\IMG_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ublic\Pictures\2012\EEN July 2012\IMG_460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23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D9" w:rsidRDefault="00E207D9">
      <w:pPr>
        <w:rPr>
          <w:rFonts w:cstheme="minorHAnsi"/>
          <w:sz w:val="24"/>
          <w:szCs w:val="24"/>
        </w:rPr>
      </w:pPr>
    </w:p>
    <w:p w:rsidR="00AC140E" w:rsidRDefault="00AC140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2923223" cy="2194560"/>
            <wp:effectExtent l="19050" t="0" r="0" b="0"/>
            <wp:docPr id="17" name="Picture 17" descr="C:\Users\Public\Pictures\2012\EEN July 2012\IMG_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ublic\Pictures\2012\EEN July 2012\IMG_462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23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40E" w:rsidRDefault="00AC140E">
      <w:pPr>
        <w:rPr>
          <w:rFonts w:cstheme="minorHAnsi"/>
          <w:sz w:val="24"/>
          <w:szCs w:val="24"/>
        </w:rPr>
        <w:sectPr w:rsidR="00AC140E" w:rsidSect="00AC14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207D9" w:rsidRDefault="00E207D9">
      <w:pPr>
        <w:rPr>
          <w:rFonts w:cstheme="minorHAnsi"/>
          <w:sz w:val="24"/>
          <w:szCs w:val="24"/>
        </w:rPr>
      </w:pPr>
    </w:p>
    <w:p w:rsidR="006D185A" w:rsidRDefault="006D1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Participants at the conference reported being inspired by:</w:t>
      </w:r>
    </w:p>
    <w:p w:rsidR="007373DA" w:rsidRPr="0093421B" w:rsidRDefault="007373DA" w:rsidP="00A347F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3421B">
        <w:rPr>
          <w:rFonts w:cstheme="minorHAnsi"/>
          <w:sz w:val="24"/>
          <w:szCs w:val="24"/>
        </w:rPr>
        <w:t>Willingness of participants to share expertise and contributed to conversations</w:t>
      </w:r>
    </w:p>
    <w:p w:rsidR="007373DA" w:rsidRPr="0093421B" w:rsidRDefault="007373DA" w:rsidP="00A347F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3421B">
        <w:rPr>
          <w:rFonts w:cstheme="minorHAnsi"/>
          <w:sz w:val="24"/>
          <w:szCs w:val="24"/>
        </w:rPr>
        <w:t>Data topic books</w:t>
      </w:r>
    </w:p>
    <w:p w:rsidR="007373DA" w:rsidRPr="00A12253" w:rsidRDefault="007373DA" w:rsidP="00A347F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12253">
        <w:rPr>
          <w:rFonts w:cstheme="minorHAnsi"/>
          <w:sz w:val="24"/>
          <w:szCs w:val="24"/>
        </w:rPr>
        <w:t>Level of thoughtful discussion</w:t>
      </w:r>
    </w:p>
    <w:p w:rsidR="007373DA" w:rsidRPr="00A12253" w:rsidRDefault="007373DA" w:rsidP="00A347F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12253">
        <w:rPr>
          <w:rFonts w:cstheme="minorHAnsi"/>
          <w:sz w:val="24"/>
          <w:szCs w:val="24"/>
        </w:rPr>
        <w:t>Strength we have to create something new and bring that to broader evaluation field. This conference has not been about staking claims or bragging.</w:t>
      </w:r>
    </w:p>
    <w:p w:rsidR="007373DA" w:rsidRPr="00A12253" w:rsidRDefault="007373DA" w:rsidP="00A347F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12253">
        <w:rPr>
          <w:rFonts w:cstheme="minorHAnsi"/>
          <w:sz w:val="24"/>
          <w:szCs w:val="24"/>
        </w:rPr>
        <w:t>We are not alone; valid expertise of colleagues</w:t>
      </w:r>
    </w:p>
    <w:p w:rsidR="007373DA" w:rsidRPr="00A12253" w:rsidRDefault="007373DA" w:rsidP="00A347F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12253">
        <w:rPr>
          <w:rFonts w:cstheme="minorHAnsi"/>
          <w:sz w:val="24"/>
          <w:szCs w:val="24"/>
        </w:rPr>
        <w:t>Deep questioning of assumptions in the field</w:t>
      </w:r>
    </w:p>
    <w:p w:rsidR="007373DA" w:rsidRPr="00A12253" w:rsidRDefault="007373DA" w:rsidP="00A347F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12253">
        <w:rPr>
          <w:rFonts w:cstheme="minorHAnsi"/>
          <w:sz w:val="24"/>
          <w:szCs w:val="24"/>
        </w:rPr>
        <w:t>Intergenerational participants, with young people willing to contribute, take risks, work in pulling things together</w:t>
      </w:r>
    </w:p>
    <w:p w:rsidR="007373DA" w:rsidRPr="00A12253" w:rsidRDefault="007373DA" w:rsidP="009405F4">
      <w:pPr>
        <w:rPr>
          <w:rFonts w:cstheme="minorHAnsi"/>
          <w:sz w:val="24"/>
          <w:szCs w:val="24"/>
        </w:rPr>
      </w:pPr>
    </w:p>
    <w:p w:rsidR="00AC140E" w:rsidRPr="00A12253" w:rsidRDefault="00061F15" w:rsidP="00AC140E">
      <w:pPr>
        <w:rPr>
          <w:rFonts w:cstheme="minorHAnsi"/>
          <w:sz w:val="24"/>
          <w:szCs w:val="24"/>
        </w:rPr>
      </w:pPr>
      <w:proofErr w:type="gramStart"/>
      <w:r w:rsidRPr="00A12253">
        <w:rPr>
          <w:rFonts w:cstheme="minorHAnsi"/>
          <w:sz w:val="24"/>
          <w:szCs w:val="24"/>
        </w:rPr>
        <w:t xml:space="preserve">At the end of the </w:t>
      </w:r>
      <w:proofErr w:type="spellStart"/>
      <w:r w:rsidRPr="00A12253">
        <w:rPr>
          <w:rFonts w:cstheme="minorHAnsi"/>
          <w:sz w:val="24"/>
          <w:szCs w:val="24"/>
        </w:rPr>
        <w:t>U</w:t>
      </w:r>
      <w:r w:rsidR="00E207D9" w:rsidRPr="00A12253">
        <w:rPr>
          <w:rFonts w:cstheme="minorHAnsi"/>
          <w:sz w:val="24"/>
          <w:szCs w:val="24"/>
        </w:rPr>
        <w:t>nconference</w:t>
      </w:r>
      <w:proofErr w:type="spellEnd"/>
      <w:r w:rsidR="00E207D9" w:rsidRPr="00A12253">
        <w:rPr>
          <w:rFonts w:cstheme="minorHAnsi"/>
          <w:sz w:val="24"/>
          <w:szCs w:val="24"/>
        </w:rPr>
        <w:t>, a number of ‘Special Topics’ were organized</w:t>
      </w:r>
      <w:r w:rsidR="00AC140E" w:rsidRPr="00A12253">
        <w:rPr>
          <w:rFonts w:cstheme="minorHAnsi"/>
          <w:sz w:val="24"/>
          <w:szCs w:val="24"/>
        </w:rPr>
        <w:t>.</w:t>
      </w:r>
      <w:proofErr w:type="gramEnd"/>
      <w:r w:rsidR="00AC140E" w:rsidRPr="00A12253">
        <w:rPr>
          <w:rFonts w:cstheme="minorHAnsi"/>
          <w:sz w:val="24"/>
          <w:szCs w:val="24"/>
        </w:rPr>
        <w:t xml:space="preserve"> </w:t>
      </w:r>
      <w:proofErr w:type="gramStart"/>
      <w:r w:rsidR="00AC140E" w:rsidRPr="00A12253">
        <w:rPr>
          <w:rFonts w:cstheme="minorHAnsi"/>
          <w:sz w:val="24"/>
          <w:szCs w:val="24"/>
        </w:rPr>
        <w:t>Descriptions ,</w:t>
      </w:r>
      <w:proofErr w:type="gramEnd"/>
      <w:r w:rsidR="00AC140E" w:rsidRPr="00A12253">
        <w:rPr>
          <w:rFonts w:cstheme="minorHAnsi"/>
          <w:sz w:val="24"/>
          <w:szCs w:val="24"/>
        </w:rPr>
        <w:t xml:space="preserve"> project leaders, and team members are listed on the EEN website (</w:t>
      </w:r>
      <w:hyperlink r:id="rId30" w:history="1">
        <w:r w:rsidR="00AC140E" w:rsidRPr="00A12253">
          <w:rPr>
            <w:rStyle w:val="Hyperlink"/>
            <w:rFonts w:cstheme="minorHAnsi"/>
            <w:sz w:val="24"/>
            <w:szCs w:val="24"/>
          </w:rPr>
          <w:t>http://www.environmentalevaluators.net/category/een-special-projects/</w:t>
        </w:r>
      </w:hyperlink>
      <w:r w:rsidR="00AC140E" w:rsidRPr="00A12253">
        <w:rPr>
          <w:rFonts w:cstheme="minorHAnsi"/>
          <w:sz w:val="24"/>
          <w:szCs w:val="24"/>
        </w:rPr>
        <w:t>):</w:t>
      </w:r>
    </w:p>
    <w:p w:rsidR="00AC140E" w:rsidRPr="00A12253" w:rsidRDefault="00AC140E" w:rsidP="00AC140E">
      <w:pPr>
        <w:rPr>
          <w:rFonts w:cstheme="minorHAnsi"/>
          <w:sz w:val="24"/>
          <w:szCs w:val="24"/>
        </w:rPr>
      </w:pPr>
    </w:p>
    <w:p w:rsidR="00AC140E" w:rsidRPr="00A12253" w:rsidRDefault="00AC140E" w:rsidP="00AC140E">
      <w:pPr>
        <w:pStyle w:val="ListParagraph"/>
        <w:numPr>
          <w:ilvl w:val="0"/>
          <w:numId w:val="15"/>
        </w:numPr>
        <w:rPr>
          <w:rFonts w:eastAsia="Times New Roman" w:cs="Arial"/>
          <w:color w:val="000000"/>
          <w:sz w:val="24"/>
          <w:szCs w:val="24"/>
        </w:rPr>
      </w:pPr>
      <w:r w:rsidRPr="00A12253">
        <w:rPr>
          <w:rFonts w:eastAsia="Times New Roman" w:cs="Arial"/>
          <w:color w:val="000000"/>
          <w:sz w:val="24"/>
          <w:szCs w:val="24"/>
        </w:rPr>
        <w:t>Carrying the EEN Torch into 2013: Forums, Governance, and Outreach</w:t>
      </w:r>
    </w:p>
    <w:p w:rsidR="00522E72" w:rsidRPr="00A12253" w:rsidRDefault="002A6B0B" w:rsidP="00AC140E">
      <w:pPr>
        <w:pStyle w:val="ListParagraph"/>
        <w:numPr>
          <w:ilvl w:val="0"/>
          <w:numId w:val="15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A12253">
        <w:rPr>
          <w:rFonts w:eastAsia="Times New Roman" w:cs="Arial"/>
          <w:color w:val="000000"/>
          <w:sz w:val="24"/>
          <w:szCs w:val="24"/>
        </w:rPr>
        <w:t xml:space="preserve">An </w:t>
      </w:r>
      <w:r w:rsidR="00522E72" w:rsidRPr="00A12253">
        <w:rPr>
          <w:rFonts w:eastAsia="Times New Roman" w:cs="Arial"/>
          <w:color w:val="000000"/>
          <w:sz w:val="24"/>
          <w:szCs w:val="24"/>
        </w:rPr>
        <w:t xml:space="preserve">EEN Repository: </w:t>
      </w:r>
      <w:r w:rsidRPr="00A12253">
        <w:rPr>
          <w:rFonts w:eastAsia="Times New Roman" w:cs="Arial"/>
          <w:color w:val="000000"/>
          <w:sz w:val="24"/>
          <w:szCs w:val="24"/>
        </w:rPr>
        <w:t>Finding and Using Environmental Evaluation</w:t>
      </w:r>
    </w:p>
    <w:p w:rsidR="002A6B0B" w:rsidRPr="00A12253" w:rsidRDefault="002A6B0B" w:rsidP="00AC140E">
      <w:pPr>
        <w:pStyle w:val="ListParagraph"/>
        <w:numPr>
          <w:ilvl w:val="0"/>
          <w:numId w:val="15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A12253">
        <w:rPr>
          <w:rFonts w:eastAsia="Times New Roman" w:cs="Arial"/>
          <w:color w:val="000000"/>
          <w:sz w:val="24"/>
          <w:szCs w:val="24"/>
        </w:rPr>
        <w:t>Environmental Evaluation: Theory Gaps</w:t>
      </w:r>
    </w:p>
    <w:p w:rsidR="002A6B0B" w:rsidRPr="00A12253" w:rsidRDefault="00522E72" w:rsidP="00AC140E">
      <w:pPr>
        <w:numPr>
          <w:ilvl w:val="0"/>
          <w:numId w:val="15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proofErr w:type="spellStart"/>
      <w:r w:rsidRPr="00A12253">
        <w:rPr>
          <w:rFonts w:eastAsia="Times New Roman" w:cs="Arial"/>
          <w:color w:val="000000"/>
          <w:sz w:val="24"/>
          <w:szCs w:val="24"/>
        </w:rPr>
        <w:t>Data</w:t>
      </w:r>
      <w:r w:rsidR="00AC140E" w:rsidRPr="00A12253">
        <w:rPr>
          <w:rFonts w:eastAsia="Times New Roman" w:cs="Arial"/>
          <w:color w:val="000000"/>
          <w:sz w:val="24"/>
          <w:szCs w:val="24"/>
        </w:rPr>
        <w:t>p</w:t>
      </w:r>
      <w:r w:rsidRPr="00A12253">
        <w:rPr>
          <w:rFonts w:eastAsia="Times New Roman" w:cs="Arial"/>
          <w:color w:val="000000"/>
          <w:sz w:val="24"/>
          <w:szCs w:val="24"/>
        </w:rPr>
        <w:t>alooza</w:t>
      </w:r>
      <w:proofErr w:type="spellEnd"/>
      <w:r w:rsidR="00AC140E" w:rsidRPr="00A12253">
        <w:rPr>
          <w:rFonts w:eastAsia="Times New Roman" w:cs="Arial"/>
          <w:color w:val="000000"/>
          <w:sz w:val="24"/>
          <w:szCs w:val="24"/>
        </w:rPr>
        <w:t xml:space="preserve">: Unlocking Data in the </w:t>
      </w:r>
      <w:r w:rsidR="002A6B0B" w:rsidRPr="00A12253">
        <w:rPr>
          <w:rFonts w:eastAsia="Times New Roman" w:cs="Arial"/>
          <w:color w:val="000000"/>
          <w:sz w:val="24"/>
          <w:szCs w:val="24"/>
        </w:rPr>
        <w:t>Environmental</w:t>
      </w:r>
      <w:r w:rsidR="00AC140E" w:rsidRPr="00A12253">
        <w:rPr>
          <w:rFonts w:eastAsia="Times New Roman" w:cs="Arial"/>
          <w:color w:val="000000"/>
          <w:sz w:val="24"/>
          <w:szCs w:val="24"/>
        </w:rPr>
        <w:t xml:space="preserve"> Sector</w:t>
      </w:r>
    </w:p>
    <w:p w:rsidR="002A6B0B" w:rsidRPr="00A12253" w:rsidRDefault="002A6B0B" w:rsidP="00AC140E">
      <w:pPr>
        <w:numPr>
          <w:ilvl w:val="0"/>
          <w:numId w:val="15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A12253">
        <w:rPr>
          <w:rFonts w:eastAsia="Times New Roman" w:cs="Arial"/>
          <w:color w:val="000000"/>
          <w:sz w:val="24"/>
          <w:szCs w:val="24"/>
        </w:rPr>
        <w:t xml:space="preserve">Welcoming Madagascar to the Environmental Evaluators Network </w:t>
      </w:r>
    </w:p>
    <w:p w:rsidR="002A6B0B" w:rsidRPr="00A12253" w:rsidRDefault="002A6B0B" w:rsidP="00AC140E">
      <w:pPr>
        <w:numPr>
          <w:ilvl w:val="0"/>
          <w:numId w:val="15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A12253">
        <w:rPr>
          <w:rFonts w:eastAsia="Times New Roman" w:cs="Arial"/>
          <w:color w:val="000000"/>
          <w:sz w:val="24"/>
          <w:szCs w:val="24"/>
        </w:rPr>
        <w:t>EEN Coordination: Opportunities for the US and Europe</w:t>
      </w:r>
    </w:p>
    <w:p w:rsidR="00C30D73" w:rsidRPr="00A12253" w:rsidRDefault="00522E72" w:rsidP="00061F15">
      <w:pPr>
        <w:numPr>
          <w:ilvl w:val="0"/>
          <w:numId w:val="15"/>
        </w:numPr>
        <w:spacing w:before="100" w:beforeAutospacing="1" w:after="100" w:afterAutospacing="1"/>
        <w:textAlignment w:val="baseline"/>
        <w:rPr>
          <w:rFonts w:cstheme="minorHAnsi"/>
          <w:sz w:val="24"/>
          <w:szCs w:val="24"/>
        </w:rPr>
      </w:pPr>
      <w:r w:rsidRPr="00A12253">
        <w:rPr>
          <w:rFonts w:eastAsia="Times New Roman" w:cs="Arial"/>
          <w:color w:val="000000"/>
          <w:sz w:val="24"/>
          <w:szCs w:val="24"/>
        </w:rPr>
        <w:t>Compliance and Enforcement</w:t>
      </w:r>
      <w:r w:rsidR="002A6B0B" w:rsidRPr="00A12253">
        <w:rPr>
          <w:rFonts w:eastAsia="Times New Roman" w:cs="Arial"/>
          <w:color w:val="000000"/>
          <w:sz w:val="24"/>
          <w:szCs w:val="24"/>
        </w:rPr>
        <w:t>: Research and Evaluation Exchange</w:t>
      </w:r>
    </w:p>
    <w:p w:rsidR="00F93276" w:rsidRPr="00A12253" w:rsidRDefault="00F93276" w:rsidP="00061F15">
      <w:pPr>
        <w:textAlignment w:val="baseline"/>
        <w:rPr>
          <w:rFonts w:cstheme="minorHAnsi"/>
          <w:sz w:val="24"/>
          <w:szCs w:val="24"/>
        </w:rPr>
      </w:pPr>
      <w:r w:rsidRPr="00A12253">
        <w:rPr>
          <w:rFonts w:cstheme="minorHAnsi"/>
          <w:sz w:val="24"/>
          <w:szCs w:val="24"/>
        </w:rPr>
        <w:t>The Special Topics continue to evolve as people add new ideas and projects are completed.</w:t>
      </w:r>
    </w:p>
    <w:p w:rsidR="00F93276" w:rsidRPr="00A12253" w:rsidRDefault="00F93276" w:rsidP="00061F15">
      <w:pPr>
        <w:textAlignment w:val="baseline"/>
        <w:rPr>
          <w:rFonts w:cstheme="minorHAnsi"/>
          <w:sz w:val="24"/>
          <w:szCs w:val="24"/>
        </w:rPr>
      </w:pPr>
    </w:p>
    <w:p w:rsidR="00061F15" w:rsidRPr="00A12253" w:rsidRDefault="00061F15" w:rsidP="00061F15">
      <w:pPr>
        <w:textAlignment w:val="baseline"/>
        <w:rPr>
          <w:rFonts w:cstheme="minorHAnsi"/>
          <w:sz w:val="24"/>
          <w:szCs w:val="24"/>
        </w:rPr>
      </w:pPr>
      <w:r w:rsidRPr="00A12253">
        <w:rPr>
          <w:rFonts w:cstheme="minorHAnsi"/>
          <w:sz w:val="24"/>
          <w:szCs w:val="24"/>
        </w:rPr>
        <w:t xml:space="preserve">In July and August, participants completed a follow-up survey about their experiences at EEN. The great majority reported </w:t>
      </w:r>
      <w:r w:rsidR="00F93276" w:rsidRPr="00A12253">
        <w:rPr>
          <w:rFonts w:cstheme="minorHAnsi"/>
          <w:sz w:val="24"/>
          <w:szCs w:val="24"/>
        </w:rPr>
        <w:t xml:space="preserve">the experience was valuable and they were able to network with others. Open-ended comments suggest participants also appreciated the fluidity and active participation of attendees encouraged by the </w:t>
      </w:r>
      <w:proofErr w:type="spellStart"/>
      <w:r w:rsidR="00F93276" w:rsidRPr="00A12253">
        <w:rPr>
          <w:rFonts w:cstheme="minorHAnsi"/>
          <w:sz w:val="24"/>
          <w:szCs w:val="24"/>
        </w:rPr>
        <w:t>unconference</w:t>
      </w:r>
      <w:proofErr w:type="spellEnd"/>
      <w:r w:rsidR="00F93276" w:rsidRPr="00A12253">
        <w:rPr>
          <w:rFonts w:cstheme="minorHAnsi"/>
          <w:sz w:val="24"/>
          <w:szCs w:val="24"/>
        </w:rPr>
        <w:t xml:space="preserve"> format. Many participants also appreciated the content of the conference, especially the keynote address. Participants were less likely to respond that they had learned</w:t>
      </w:r>
      <w:r w:rsidR="00293550" w:rsidRPr="00A12253">
        <w:rPr>
          <w:rFonts w:cstheme="minorHAnsi"/>
          <w:sz w:val="24"/>
          <w:szCs w:val="24"/>
        </w:rPr>
        <w:t xml:space="preserve"> about evaluation methods and approaches. Many would have preferred at least somewhat more structure as well as more sessions/ less ‘downtime’ (though this implies a trade-off with the popular ‘networking’ time.) These findings suggest (as, indeed, several people suggested) a mixed conference/</w:t>
      </w:r>
      <w:proofErr w:type="spellStart"/>
      <w:r w:rsidR="00293550" w:rsidRPr="00A12253">
        <w:rPr>
          <w:rFonts w:cstheme="minorHAnsi"/>
          <w:sz w:val="24"/>
          <w:szCs w:val="24"/>
        </w:rPr>
        <w:t>unconference</w:t>
      </w:r>
      <w:proofErr w:type="spellEnd"/>
      <w:r w:rsidR="00293550" w:rsidRPr="00A12253">
        <w:rPr>
          <w:rFonts w:cstheme="minorHAnsi"/>
          <w:sz w:val="24"/>
          <w:szCs w:val="24"/>
        </w:rPr>
        <w:t xml:space="preserve"> format for future EEN forums.</w:t>
      </w:r>
    </w:p>
    <w:p w:rsidR="00293550" w:rsidRDefault="00293550" w:rsidP="00061F15">
      <w:pPr>
        <w:textAlignment w:val="baseline"/>
        <w:rPr>
          <w:rFonts w:cstheme="minorHAnsi"/>
          <w:sz w:val="24"/>
          <w:szCs w:val="24"/>
        </w:rPr>
      </w:pPr>
    </w:p>
    <w:p w:rsidR="00293550" w:rsidRDefault="00293550" w:rsidP="00061F15">
      <w:pPr>
        <w:textAlignment w:val="baseline"/>
        <w:rPr>
          <w:rFonts w:cstheme="minorHAnsi"/>
          <w:sz w:val="24"/>
          <w:szCs w:val="24"/>
        </w:rPr>
      </w:pPr>
    </w:p>
    <w:p w:rsidR="00061F15" w:rsidRDefault="00061F15" w:rsidP="00061F15">
      <w:pPr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061F15" w:rsidSect="00397A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EE" w:rsidRDefault="002A08EE" w:rsidP="00C30D73">
      <w:r>
        <w:separator/>
      </w:r>
    </w:p>
  </w:endnote>
  <w:endnote w:type="continuationSeparator" w:id="0">
    <w:p w:rsidR="002A08EE" w:rsidRDefault="002A08EE" w:rsidP="00C3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73" w:rsidRDefault="00C30D73">
    <w:pPr>
      <w:pStyle w:val="Footer"/>
    </w:pPr>
    <w:r>
      <w:t>Carrillo, Keene, &amp; McCarthy</w:t>
    </w:r>
  </w:p>
  <w:p w:rsidR="00C30D73" w:rsidRDefault="005F01C0">
    <w:pPr>
      <w:pStyle w:val="Footer"/>
    </w:pPr>
    <w:proofErr w:type="gramStart"/>
    <w:r>
      <w:t xml:space="preserve">May </w:t>
    </w:r>
    <w:r w:rsidR="00C30D73">
      <w:t xml:space="preserve"> 15</w:t>
    </w:r>
    <w:proofErr w:type="gramEnd"/>
    <w:r w:rsidR="00C30D73">
      <w:t>, 201</w:t>
    </w:r>
    <w: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EE" w:rsidRDefault="002A08EE" w:rsidP="00C30D73">
      <w:r>
        <w:separator/>
      </w:r>
    </w:p>
  </w:footnote>
  <w:footnote w:type="continuationSeparator" w:id="0">
    <w:p w:rsidR="002A08EE" w:rsidRDefault="002A08EE" w:rsidP="00C30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74B"/>
    <w:multiLevelType w:val="multilevel"/>
    <w:tmpl w:val="8744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21685"/>
    <w:multiLevelType w:val="hybridMultilevel"/>
    <w:tmpl w:val="61EE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B0187"/>
    <w:multiLevelType w:val="hybridMultilevel"/>
    <w:tmpl w:val="6A9C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84C55"/>
    <w:multiLevelType w:val="multilevel"/>
    <w:tmpl w:val="468A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D4CCE"/>
    <w:multiLevelType w:val="hybridMultilevel"/>
    <w:tmpl w:val="79D2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A0BF7"/>
    <w:multiLevelType w:val="multilevel"/>
    <w:tmpl w:val="87449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22FEA"/>
    <w:multiLevelType w:val="hybridMultilevel"/>
    <w:tmpl w:val="D21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446B2"/>
    <w:multiLevelType w:val="hybridMultilevel"/>
    <w:tmpl w:val="BD28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F26C1"/>
    <w:multiLevelType w:val="hybridMultilevel"/>
    <w:tmpl w:val="D0D8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C1919"/>
    <w:multiLevelType w:val="multilevel"/>
    <w:tmpl w:val="2D46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C1A64"/>
    <w:multiLevelType w:val="hybridMultilevel"/>
    <w:tmpl w:val="52C2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E0721"/>
    <w:multiLevelType w:val="hybridMultilevel"/>
    <w:tmpl w:val="48BC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F269A"/>
    <w:multiLevelType w:val="hybridMultilevel"/>
    <w:tmpl w:val="2766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F64FB"/>
    <w:multiLevelType w:val="multilevel"/>
    <w:tmpl w:val="84E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E7119"/>
    <w:multiLevelType w:val="hybridMultilevel"/>
    <w:tmpl w:val="40BA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9"/>
  </w:num>
  <w:num w:numId="11">
    <w:abstractNumId w:val="12"/>
  </w:num>
  <w:num w:numId="12">
    <w:abstractNumId w:val="14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5F4"/>
    <w:rsid w:val="0000064A"/>
    <w:rsid w:val="000364BD"/>
    <w:rsid w:val="00061F15"/>
    <w:rsid w:val="00085C37"/>
    <w:rsid w:val="000A7E58"/>
    <w:rsid w:val="001205F1"/>
    <w:rsid w:val="00141021"/>
    <w:rsid w:val="001B2A83"/>
    <w:rsid w:val="00203094"/>
    <w:rsid w:val="00214D93"/>
    <w:rsid w:val="002263FA"/>
    <w:rsid w:val="0023710B"/>
    <w:rsid w:val="00261D49"/>
    <w:rsid w:val="00262ACD"/>
    <w:rsid w:val="002916D6"/>
    <w:rsid w:val="002919C9"/>
    <w:rsid w:val="00293550"/>
    <w:rsid w:val="002A08EE"/>
    <w:rsid w:val="002A6B0B"/>
    <w:rsid w:val="002D5C87"/>
    <w:rsid w:val="00341A75"/>
    <w:rsid w:val="00346D19"/>
    <w:rsid w:val="00397AF5"/>
    <w:rsid w:val="00415E0B"/>
    <w:rsid w:val="00457F1B"/>
    <w:rsid w:val="00467E5B"/>
    <w:rsid w:val="00522E72"/>
    <w:rsid w:val="00524306"/>
    <w:rsid w:val="005B1D44"/>
    <w:rsid w:val="005D6ED5"/>
    <w:rsid w:val="005F01C0"/>
    <w:rsid w:val="005F619B"/>
    <w:rsid w:val="00601B29"/>
    <w:rsid w:val="006B4360"/>
    <w:rsid w:val="006D185A"/>
    <w:rsid w:val="006E4AD0"/>
    <w:rsid w:val="006F36EA"/>
    <w:rsid w:val="00716263"/>
    <w:rsid w:val="007373DA"/>
    <w:rsid w:val="007C3E2C"/>
    <w:rsid w:val="00821088"/>
    <w:rsid w:val="00826D44"/>
    <w:rsid w:val="008275B0"/>
    <w:rsid w:val="00847DE4"/>
    <w:rsid w:val="0093421B"/>
    <w:rsid w:val="009405F4"/>
    <w:rsid w:val="00947A08"/>
    <w:rsid w:val="00952DB9"/>
    <w:rsid w:val="009B398A"/>
    <w:rsid w:val="009D44C3"/>
    <w:rsid w:val="009F5ABD"/>
    <w:rsid w:val="00A12253"/>
    <w:rsid w:val="00A347F2"/>
    <w:rsid w:val="00AC140E"/>
    <w:rsid w:val="00AD6289"/>
    <w:rsid w:val="00B62567"/>
    <w:rsid w:val="00B677D8"/>
    <w:rsid w:val="00BF2917"/>
    <w:rsid w:val="00C30D73"/>
    <w:rsid w:val="00C45A3D"/>
    <w:rsid w:val="00C50C5E"/>
    <w:rsid w:val="00C61AF3"/>
    <w:rsid w:val="00D82ACD"/>
    <w:rsid w:val="00DB4B4C"/>
    <w:rsid w:val="00DC6EFA"/>
    <w:rsid w:val="00E04DF5"/>
    <w:rsid w:val="00E207D9"/>
    <w:rsid w:val="00E572C5"/>
    <w:rsid w:val="00F131AE"/>
    <w:rsid w:val="00F54428"/>
    <w:rsid w:val="00F70BCB"/>
    <w:rsid w:val="00F93276"/>
    <w:rsid w:val="00FA2113"/>
    <w:rsid w:val="00FB7E32"/>
    <w:rsid w:val="00FC5676"/>
    <w:rsid w:val="00FD7F03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87"/>
  </w:style>
  <w:style w:type="paragraph" w:styleId="Heading1">
    <w:name w:val="heading 1"/>
    <w:basedOn w:val="Normal"/>
    <w:next w:val="Normal"/>
    <w:link w:val="Heading1Char"/>
    <w:uiPriority w:val="9"/>
    <w:qFormat/>
    <w:rsid w:val="00A12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5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6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0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D73"/>
  </w:style>
  <w:style w:type="paragraph" w:styleId="Footer">
    <w:name w:val="footer"/>
    <w:basedOn w:val="Normal"/>
    <w:link w:val="FooterChar"/>
    <w:uiPriority w:val="99"/>
    <w:semiHidden/>
    <w:unhideWhenUsed/>
    <w:rsid w:val="00C30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D73"/>
  </w:style>
  <w:style w:type="character" w:customStyle="1" w:styleId="apple-converted-space">
    <w:name w:val="apple-converted-space"/>
    <w:basedOn w:val="DefaultParagraphFont"/>
    <w:rsid w:val="00524306"/>
  </w:style>
  <w:style w:type="paragraph" w:styleId="BalloonText">
    <w:name w:val="Balloon Text"/>
    <w:basedOn w:val="Normal"/>
    <w:link w:val="BalloonTextChar"/>
    <w:uiPriority w:val="99"/>
    <w:semiHidden/>
    <w:unhideWhenUsed/>
    <w:rsid w:val="00F5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72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2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nvironmentalevaluators.net/2012/07/developmental-evaluation/" TargetMode="External"/><Relationship Id="rId18" Type="http://schemas.openxmlformats.org/officeDocument/2006/relationships/hyperlink" Target="http://www.environmentalevaluators.net/2012/07/fuzzy-logic-models/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://www.environmentalevaluators.net/2012/07/measuring-compliance-and-enforcement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nvironmentalevaluators.net/2012/07/return-on-investment-sin-savior-both-neither/" TargetMode="External"/><Relationship Id="rId17" Type="http://schemas.openxmlformats.org/officeDocument/2006/relationships/hyperlink" Target="http://www.environmentalevaluators.net/2012/07/engage-audiences-with-data-visualization/" TargetMode="External"/><Relationship Id="rId25" Type="http://schemas.openxmlformats.org/officeDocument/2006/relationships/hyperlink" Target="http://www.environmentalevaluators.net/2012/07/evaluating-public-engagement-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vironmentalevaluators.net/2012/07/inspiring-interest-and-dedication-to-the-work/" TargetMode="External"/><Relationship Id="rId20" Type="http://schemas.openxmlformats.org/officeDocument/2006/relationships/hyperlink" Target="http://www.environmentalevaluators.net/2012/07/use-of-evidence-and-evaluation-in-budget-proposals/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vironmentalevaluators.net/2012/07/evaluating-internal-collaboration/" TargetMode="External"/><Relationship Id="rId24" Type="http://schemas.openxmlformats.org/officeDocument/2006/relationships/hyperlink" Target="http://www.environmentalevaluators.net/2012/07/increasing-evaluation-adoption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nvironmentalevaluators.net/2012/07/evaluating-landscape-projects-for-lots-of-landowners/" TargetMode="External"/><Relationship Id="rId23" Type="http://schemas.openxmlformats.org/officeDocument/2006/relationships/hyperlink" Target="http://www.environmentalevaluators.net/2012/07/what-is-aeas-role-to-support-environmental-consciousness-and-responsibility/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://www.environmentalevaluators.net/2012/07/social-marketing-communications-eval-measurement/" TargetMode="External"/><Relationship Id="rId19" Type="http://schemas.openxmlformats.org/officeDocument/2006/relationships/hyperlink" Target="http://www.environmentalevaluators.net/2012/07/evaluators-new-to-the-evaluation-field-what-do-we-need-to-know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environmentalevaluators.net/2012/07/environmental-education-programs-what-are-we-measuring/" TargetMode="External"/><Relationship Id="rId22" Type="http://schemas.openxmlformats.org/officeDocument/2006/relationships/hyperlink" Target="http://www.environmentalevaluators.net/2012/07/future-of-evaluation/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www.environmentalevaluators.net/category/een-special-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Apex Education</dc:creator>
  <cp:lastModifiedBy>EPA</cp:lastModifiedBy>
  <cp:revision>3</cp:revision>
  <dcterms:created xsi:type="dcterms:W3CDTF">2013-05-15T19:22:00Z</dcterms:created>
  <dcterms:modified xsi:type="dcterms:W3CDTF">2013-05-22T11:41:00Z</dcterms:modified>
</cp:coreProperties>
</file>